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A1F" w:rsidRPr="00B67551" w:rsidRDefault="00777181" w:rsidP="00B67551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Рецидивирующая н</w:t>
      </w:r>
      <w:r w:rsidR="00542A1F" w:rsidRPr="00B67551">
        <w:rPr>
          <w:b/>
          <w:sz w:val="24"/>
        </w:rPr>
        <w:t>естабильность надколенника у детей.</w:t>
      </w:r>
    </w:p>
    <w:p w:rsidR="00542A1F" w:rsidRPr="00B67551" w:rsidRDefault="00542A1F" w:rsidP="00B67551">
      <w:pPr>
        <w:spacing w:line="360" w:lineRule="auto"/>
        <w:ind w:left="708"/>
        <w:rPr>
          <w:sz w:val="24"/>
        </w:rPr>
      </w:pPr>
    </w:p>
    <w:p w:rsidR="00542A1F" w:rsidRPr="00B67551" w:rsidRDefault="00FE1D14" w:rsidP="00B67551">
      <w:pPr>
        <w:spacing w:line="360" w:lineRule="auto"/>
        <w:rPr>
          <w:b/>
          <w:sz w:val="24"/>
        </w:rPr>
      </w:pPr>
      <w:r w:rsidRPr="00B67551">
        <w:rPr>
          <w:b/>
          <w:sz w:val="24"/>
        </w:rPr>
        <w:t>Введение</w:t>
      </w:r>
    </w:p>
    <w:p w:rsidR="00342277" w:rsidRPr="00B67551" w:rsidRDefault="00014544" w:rsidP="00B67551">
      <w:pPr>
        <w:spacing w:line="360" w:lineRule="auto"/>
        <w:jc w:val="both"/>
        <w:rPr>
          <w:sz w:val="24"/>
        </w:rPr>
      </w:pPr>
      <w:r w:rsidRPr="00B67551">
        <w:rPr>
          <w:sz w:val="24"/>
        </w:rPr>
        <w:tab/>
        <w:t xml:space="preserve">Острый вывих и нестабильность надколенника остаются распространенной проблемой в структуре заболеваний коленного сустава </w:t>
      </w:r>
      <w:r w:rsidR="005C152D" w:rsidRPr="00B67551">
        <w:rPr>
          <w:sz w:val="24"/>
        </w:rPr>
        <w:t xml:space="preserve">в </w:t>
      </w:r>
      <w:r w:rsidRPr="00B67551">
        <w:rPr>
          <w:sz w:val="24"/>
        </w:rPr>
        <w:t>детском возрасте. Острый вывих составляет до 2-3% всех травм и заболеваний коленного сустава. В возраст</w:t>
      </w:r>
      <w:r w:rsidR="005C152D" w:rsidRPr="00B67551">
        <w:rPr>
          <w:sz w:val="24"/>
        </w:rPr>
        <w:t xml:space="preserve">ной группе от </w:t>
      </w:r>
      <w:r w:rsidRPr="00B67551">
        <w:rPr>
          <w:sz w:val="24"/>
        </w:rPr>
        <w:t>10</w:t>
      </w:r>
      <w:r w:rsidR="005C152D" w:rsidRPr="00B67551">
        <w:rPr>
          <w:sz w:val="24"/>
        </w:rPr>
        <w:t xml:space="preserve"> до </w:t>
      </w:r>
      <w:r w:rsidRPr="00B67551">
        <w:rPr>
          <w:sz w:val="24"/>
        </w:rPr>
        <w:t>18 лет распространенность первичного вывих надколенника составляет до 29 человек на 100 тыс. населения</w:t>
      </w:r>
      <w:r w:rsidR="00EC59AC" w:rsidRPr="00B67551">
        <w:rPr>
          <w:sz w:val="24"/>
        </w:rPr>
        <w:t>.</w:t>
      </w:r>
    </w:p>
    <w:p w:rsidR="00014544" w:rsidRPr="00B67551" w:rsidRDefault="00014544" w:rsidP="00B6755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</w:rPr>
      </w:pPr>
      <w:r w:rsidRPr="00B67551">
        <w:rPr>
          <w:sz w:val="24"/>
        </w:rPr>
        <w:t xml:space="preserve">Нестабильность надколенника относится к синдрому боли в переднем отделе коленного сустава, который диагностируется как </w:t>
      </w:r>
      <w:proofErr w:type="spellStart"/>
      <w:r w:rsidRPr="00B67551">
        <w:rPr>
          <w:sz w:val="24"/>
        </w:rPr>
        <w:t>пат</w:t>
      </w:r>
      <w:r w:rsidR="00DB720E" w:rsidRPr="00B67551">
        <w:rPr>
          <w:sz w:val="24"/>
        </w:rPr>
        <w:t>оллофеморальный</w:t>
      </w:r>
      <w:proofErr w:type="spellEnd"/>
      <w:r w:rsidR="00DB720E" w:rsidRPr="00B67551">
        <w:rPr>
          <w:sz w:val="24"/>
        </w:rPr>
        <w:t xml:space="preserve"> болевой синдром. По данным некоторых авторов</w:t>
      </w:r>
      <w:r w:rsidR="00B40E48">
        <w:rPr>
          <w:sz w:val="24"/>
        </w:rPr>
        <w:t xml:space="preserve"> </w:t>
      </w:r>
      <w:r w:rsidR="00B40E48" w:rsidRPr="00B40E48">
        <w:rPr>
          <w:sz w:val="24"/>
        </w:rPr>
        <w:t>[1]</w:t>
      </w:r>
      <w:r w:rsidRPr="00B67551">
        <w:rPr>
          <w:sz w:val="24"/>
        </w:rPr>
        <w:t xml:space="preserve"> распространенность </w:t>
      </w:r>
      <w:r w:rsidR="00DB720E" w:rsidRPr="00B67551">
        <w:rPr>
          <w:sz w:val="24"/>
        </w:rPr>
        <w:t xml:space="preserve">у </w:t>
      </w:r>
      <w:r w:rsidRPr="00B67551">
        <w:rPr>
          <w:sz w:val="24"/>
        </w:rPr>
        <w:t xml:space="preserve">взрослых составляет 15-33%, а у детей 21-45%. Кроме того после первичного вывиха </w:t>
      </w:r>
      <w:r w:rsidRPr="00B40E48">
        <w:rPr>
          <w:sz w:val="24"/>
        </w:rPr>
        <w:t xml:space="preserve">надколенника </w:t>
      </w:r>
      <w:r w:rsidR="00ED00C8" w:rsidRPr="00B40E48">
        <w:rPr>
          <w:sz w:val="24"/>
        </w:rPr>
        <w:t xml:space="preserve">повторные вывихи и </w:t>
      </w:r>
      <w:r w:rsidRPr="00B40E48">
        <w:rPr>
          <w:sz w:val="24"/>
        </w:rPr>
        <w:t>не</w:t>
      </w:r>
      <w:r w:rsidR="00ED00C8" w:rsidRPr="00B40E48">
        <w:rPr>
          <w:sz w:val="24"/>
        </w:rPr>
        <w:t xml:space="preserve">стабильность развивается у 60 % больных без оперативного лечения </w:t>
      </w:r>
      <w:r w:rsidR="00B40E48" w:rsidRPr="00B40E48">
        <w:rPr>
          <w:sz w:val="24"/>
        </w:rPr>
        <w:t>[2,3].</w:t>
      </w:r>
      <w:r w:rsidR="00ED00C8" w:rsidRPr="00B40E48">
        <w:rPr>
          <w:sz w:val="24"/>
        </w:rPr>
        <w:t xml:space="preserve"> Также</w:t>
      </w:r>
      <w:r w:rsidR="00ED00C8" w:rsidRPr="00B67551">
        <w:rPr>
          <w:sz w:val="24"/>
        </w:rPr>
        <w:t xml:space="preserve"> рецидивирующая нестабильность надколенника приводит к развитию пателлофеморального артроза, в результате чего до 60 % больных имели ограничение </w:t>
      </w:r>
      <w:proofErr w:type="gramStart"/>
      <w:r w:rsidR="00ED00C8" w:rsidRPr="00B67551">
        <w:rPr>
          <w:sz w:val="24"/>
        </w:rPr>
        <w:t>в</w:t>
      </w:r>
      <w:proofErr w:type="gramEnd"/>
      <w:r w:rsidR="00ED00C8" w:rsidRPr="00B67551">
        <w:rPr>
          <w:sz w:val="24"/>
        </w:rPr>
        <w:t xml:space="preserve"> </w:t>
      </w:r>
      <w:proofErr w:type="gramStart"/>
      <w:r w:rsidR="00ED00C8" w:rsidRPr="00B67551">
        <w:rPr>
          <w:sz w:val="24"/>
        </w:rPr>
        <w:t>физической</w:t>
      </w:r>
      <w:proofErr w:type="gramEnd"/>
      <w:r w:rsidR="00ED00C8" w:rsidRPr="00B67551">
        <w:rPr>
          <w:sz w:val="24"/>
        </w:rPr>
        <w:t xml:space="preserve"> активность более 6 месяцев, а около половины детей не смогли вернуться в спорт. </w:t>
      </w:r>
    </w:p>
    <w:p w:rsidR="00542A1F" w:rsidRPr="00B67551" w:rsidRDefault="00014544" w:rsidP="00B67551">
      <w:pPr>
        <w:spacing w:line="360" w:lineRule="auto"/>
        <w:ind w:firstLine="708"/>
        <w:jc w:val="both"/>
        <w:rPr>
          <w:i/>
          <w:sz w:val="24"/>
        </w:rPr>
      </w:pPr>
      <w:r w:rsidRPr="00B67551">
        <w:rPr>
          <w:sz w:val="24"/>
        </w:rPr>
        <w:t>Вышеуказанные факты дел</w:t>
      </w:r>
      <w:r w:rsidR="00ED00C8" w:rsidRPr="00B67551">
        <w:rPr>
          <w:sz w:val="24"/>
        </w:rPr>
        <w:t>ают проблему нестабильности надколенника очень актуальной, особенно в детской и подростковой возрастной группе. В связи с частыми рецидивами вывиха надколенника (до 60%) большая часть авторов предлагают после первичного вывиха производи</w:t>
      </w:r>
      <w:r w:rsidR="00B40E48">
        <w:rPr>
          <w:sz w:val="24"/>
        </w:rPr>
        <w:t>ть оперативное лечение [4</w:t>
      </w:r>
      <w:r w:rsidR="00B40E48" w:rsidRPr="00B40E48">
        <w:rPr>
          <w:sz w:val="24"/>
        </w:rPr>
        <w:t>,5]</w:t>
      </w:r>
      <w:r w:rsidR="00ED00C8" w:rsidRPr="00B67551">
        <w:rPr>
          <w:i/>
          <w:sz w:val="24"/>
        </w:rPr>
        <w:t>.</w:t>
      </w:r>
    </w:p>
    <w:p w:rsidR="003B7F3E" w:rsidRPr="00B67551" w:rsidRDefault="00BE6695" w:rsidP="00B67551">
      <w:pPr>
        <w:spacing w:line="360" w:lineRule="auto"/>
        <w:ind w:firstLine="708"/>
        <w:jc w:val="both"/>
        <w:rPr>
          <w:sz w:val="24"/>
        </w:rPr>
      </w:pPr>
      <w:r w:rsidRPr="00B67551">
        <w:rPr>
          <w:sz w:val="24"/>
        </w:rPr>
        <w:t>Учитывая все</w:t>
      </w:r>
      <w:r w:rsidR="00D06D4D" w:rsidRPr="00B67551">
        <w:rPr>
          <w:sz w:val="24"/>
        </w:rPr>
        <w:t xml:space="preserve"> вышесказанное, каждый пациент должен </w:t>
      </w:r>
      <w:r w:rsidRPr="00B67551">
        <w:rPr>
          <w:sz w:val="24"/>
        </w:rPr>
        <w:t xml:space="preserve">быть </w:t>
      </w:r>
      <w:r w:rsidR="00D06D4D" w:rsidRPr="00B67551">
        <w:rPr>
          <w:sz w:val="24"/>
        </w:rPr>
        <w:t xml:space="preserve">обследован по определенному алгоритму. Необходимо учитывать причины возникновения вывиха, а также анатомические предпосылки к возникновению нестабильности. </w:t>
      </w:r>
    </w:p>
    <w:p w:rsidR="00EC59AC" w:rsidRPr="00B67551" w:rsidRDefault="00EC59AC" w:rsidP="00B67551">
      <w:pPr>
        <w:spacing w:line="360" w:lineRule="auto"/>
        <w:rPr>
          <w:b/>
          <w:sz w:val="24"/>
        </w:rPr>
      </w:pPr>
    </w:p>
    <w:p w:rsidR="00EC59AC" w:rsidRPr="00B67551" w:rsidRDefault="00EC59AC" w:rsidP="00B67551">
      <w:pPr>
        <w:spacing w:line="360" w:lineRule="auto"/>
        <w:rPr>
          <w:b/>
          <w:sz w:val="24"/>
        </w:rPr>
      </w:pPr>
      <w:r w:rsidRPr="00B67551">
        <w:rPr>
          <w:b/>
          <w:sz w:val="24"/>
        </w:rPr>
        <w:t>Цель исследования</w:t>
      </w:r>
    </w:p>
    <w:p w:rsidR="00EC59AC" w:rsidRPr="00B67551" w:rsidRDefault="00EC59AC" w:rsidP="00B67551">
      <w:pPr>
        <w:spacing w:line="360" w:lineRule="auto"/>
        <w:ind w:firstLine="708"/>
        <w:jc w:val="both"/>
        <w:rPr>
          <w:sz w:val="24"/>
        </w:rPr>
      </w:pPr>
      <w:r w:rsidRPr="00B67551">
        <w:rPr>
          <w:sz w:val="24"/>
        </w:rPr>
        <w:t xml:space="preserve">Разработка системы диагностических мероприятий, направленных на улучшение результатов лечения детей с нестабильностью надколенника у детей, </w:t>
      </w:r>
      <w:r w:rsidR="000B2423">
        <w:rPr>
          <w:sz w:val="24"/>
        </w:rPr>
        <w:t xml:space="preserve">создание </w:t>
      </w:r>
      <w:r w:rsidRPr="00B67551">
        <w:rPr>
          <w:sz w:val="24"/>
        </w:rPr>
        <w:t>алгоритма лечения нестабильности у детей.</w:t>
      </w:r>
    </w:p>
    <w:p w:rsidR="00EC59AC" w:rsidRPr="00B67551" w:rsidRDefault="00EC59AC" w:rsidP="00B67551">
      <w:pPr>
        <w:spacing w:line="360" w:lineRule="auto"/>
        <w:rPr>
          <w:b/>
          <w:sz w:val="24"/>
        </w:rPr>
      </w:pPr>
    </w:p>
    <w:p w:rsidR="00EC59AC" w:rsidRPr="00B67551" w:rsidRDefault="00EC59AC" w:rsidP="00B67551">
      <w:pPr>
        <w:spacing w:line="360" w:lineRule="auto"/>
        <w:jc w:val="both"/>
        <w:rPr>
          <w:b/>
          <w:sz w:val="24"/>
        </w:rPr>
      </w:pPr>
      <w:r w:rsidRPr="00B67551">
        <w:rPr>
          <w:b/>
          <w:sz w:val="24"/>
        </w:rPr>
        <w:t>Материалы и методы</w:t>
      </w:r>
    </w:p>
    <w:p w:rsidR="00707359" w:rsidRPr="00B67551" w:rsidRDefault="00EC59AC" w:rsidP="00B67551">
      <w:pPr>
        <w:spacing w:line="360" w:lineRule="auto"/>
        <w:jc w:val="both"/>
        <w:rPr>
          <w:sz w:val="24"/>
        </w:rPr>
      </w:pPr>
      <w:r w:rsidRPr="00B67551">
        <w:rPr>
          <w:sz w:val="24"/>
        </w:rPr>
        <w:t xml:space="preserve">В отделении детской травматологии ЦИТО с 2012 по 2016 годы наблюдалось 137 больных в возрасте от 7 до 18 лет с нестабильностью надколенника, у которых проводилось оперативное лечение. Длительность анамнеза составила от 6 месяцев до 7 лет (рис.1). </w:t>
      </w:r>
      <w:r w:rsidR="00707359" w:rsidRPr="00B67551">
        <w:rPr>
          <w:sz w:val="24"/>
        </w:rPr>
        <w:t xml:space="preserve">Среди больных преобладали девочки – 81 пациент, тогда как мальчиков было 56. (рис.2). </w:t>
      </w:r>
      <w:r w:rsidR="00707359" w:rsidRPr="00B67551">
        <w:rPr>
          <w:sz w:val="24"/>
        </w:rPr>
        <w:lastRenderedPageBreak/>
        <w:t xml:space="preserve">У </w:t>
      </w:r>
      <w:r w:rsidR="00067977" w:rsidRPr="00B67551">
        <w:rPr>
          <w:sz w:val="24"/>
        </w:rPr>
        <w:t>94 пациентов (</w:t>
      </w:r>
      <w:r w:rsidR="00707359" w:rsidRPr="00B67551">
        <w:rPr>
          <w:sz w:val="24"/>
        </w:rPr>
        <w:t>6</w:t>
      </w:r>
      <w:r w:rsidR="00067977" w:rsidRPr="00B67551">
        <w:rPr>
          <w:sz w:val="24"/>
        </w:rPr>
        <w:t>8,6</w:t>
      </w:r>
      <w:r w:rsidR="00707359" w:rsidRPr="00B67551">
        <w:rPr>
          <w:sz w:val="24"/>
        </w:rPr>
        <w:t>%</w:t>
      </w:r>
      <w:r w:rsidR="00067977" w:rsidRPr="00B67551">
        <w:rPr>
          <w:sz w:val="24"/>
        </w:rPr>
        <w:t>)</w:t>
      </w:r>
      <w:r w:rsidR="00707359" w:rsidRPr="00B67551">
        <w:rPr>
          <w:sz w:val="24"/>
        </w:rPr>
        <w:t xml:space="preserve"> было от четырех до восьми вывихов надколенника. У</w:t>
      </w:r>
      <w:r w:rsidR="00067977" w:rsidRPr="00B67551">
        <w:rPr>
          <w:sz w:val="24"/>
        </w:rPr>
        <w:t xml:space="preserve"> 9 </w:t>
      </w:r>
      <w:r w:rsidR="00707359" w:rsidRPr="00B67551">
        <w:rPr>
          <w:sz w:val="24"/>
        </w:rPr>
        <w:t>пациентов</w:t>
      </w:r>
      <w:r w:rsidR="00067977" w:rsidRPr="00B67551">
        <w:rPr>
          <w:sz w:val="24"/>
        </w:rPr>
        <w:t xml:space="preserve"> (6,5%)</w:t>
      </w:r>
      <w:r w:rsidR="00707359" w:rsidRPr="00B67551">
        <w:rPr>
          <w:sz w:val="24"/>
        </w:rPr>
        <w:t xml:space="preserve"> в анамнезе вывихи происходили более 30 раз.</w:t>
      </w:r>
    </w:p>
    <w:p w:rsidR="00EC59AC" w:rsidRPr="00B67551" w:rsidRDefault="00EC59AC" w:rsidP="00B67551">
      <w:pPr>
        <w:spacing w:line="360" w:lineRule="auto"/>
        <w:ind w:firstLine="708"/>
        <w:jc w:val="both"/>
        <w:rPr>
          <w:sz w:val="24"/>
        </w:rPr>
      </w:pPr>
    </w:p>
    <w:p w:rsidR="00707359" w:rsidRPr="00B67551" w:rsidRDefault="00707359" w:rsidP="00B67551">
      <w:pPr>
        <w:keepNext/>
        <w:spacing w:line="360" w:lineRule="auto"/>
        <w:ind w:firstLine="708"/>
        <w:jc w:val="both"/>
        <w:rPr>
          <w:sz w:val="24"/>
        </w:rPr>
      </w:pPr>
      <w:r w:rsidRPr="00B67551">
        <w:rPr>
          <w:bCs/>
          <w:noProof/>
          <w:sz w:val="24"/>
        </w:rPr>
        <w:drawing>
          <wp:inline distT="0" distB="0" distL="0" distR="0" wp14:anchorId="53BE4E32" wp14:editId="46CAB80B">
            <wp:extent cx="4438650" cy="3041808"/>
            <wp:effectExtent l="38100" t="0" r="0" b="6350"/>
            <wp:docPr id="21" name="Диаграмма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07359" w:rsidRPr="00B67551" w:rsidRDefault="00707359" w:rsidP="00B67551">
      <w:pPr>
        <w:pStyle w:val="aa"/>
        <w:spacing w:line="360" w:lineRule="auto"/>
        <w:jc w:val="both"/>
        <w:rPr>
          <w:sz w:val="24"/>
          <w:szCs w:val="24"/>
        </w:rPr>
      </w:pPr>
      <w:r w:rsidRPr="00B67551">
        <w:rPr>
          <w:sz w:val="24"/>
          <w:szCs w:val="24"/>
        </w:rPr>
        <w:t xml:space="preserve">Рисунок </w:t>
      </w:r>
      <w:r w:rsidRPr="00B67551">
        <w:rPr>
          <w:sz w:val="24"/>
          <w:szCs w:val="24"/>
        </w:rPr>
        <w:fldChar w:fldCharType="begin"/>
      </w:r>
      <w:r w:rsidRPr="00B67551">
        <w:rPr>
          <w:sz w:val="24"/>
          <w:szCs w:val="24"/>
        </w:rPr>
        <w:instrText xml:space="preserve"> SEQ Рисунок \* ARABIC </w:instrText>
      </w:r>
      <w:r w:rsidRPr="00B67551">
        <w:rPr>
          <w:sz w:val="24"/>
          <w:szCs w:val="24"/>
        </w:rPr>
        <w:fldChar w:fldCharType="separate"/>
      </w:r>
      <w:r w:rsidR="00657BCD">
        <w:rPr>
          <w:noProof/>
          <w:sz w:val="24"/>
          <w:szCs w:val="24"/>
        </w:rPr>
        <w:t>1</w:t>
      </w:r>
      <w:r w:rsidRPr="00B67551">
        <w:rPr>
          <w:sz w:val="24"/>
          <w:szCs w:val="24"/>
        </w:rPr>
        <w:fldChar w:fldCharType="end"/>
      </w:r>
      <w:r w:rsidRPr="00B67551">
        <w:rPr>
          <w:sz w:val="24"/>
          <w:szCs w:val="24"/>
        </w:rPr>
        <w:t xml:space="preserve"> распределение больных по длительности анамнеза</w:t>
      </w:r>
    </w:p>
    <w:p w:rsidR="00707359" w:rsidRPr="00B67551" w:rsidRDefault="00707359" w:rsidP="00B67551">
      <w:pPr>
        <w:keepNext/>
        <w:spacing w:line="360" w:lineRule="auto"/>
        <w:ind w:firstLine="708"/>
        <w:jc w:val="both"/>
        <w:rPr>
          <w:sz w:val="24"/>
        </w:rPr>
      </w:pPr>
      <w:r w:rsidRPr="00B67551">
        <w:rPr>
          <w:noProof/>
          <w:sz w:val="24"/>
        </w:rPr>
        <w:drawing>
          <wp:inline distT="0" distB="0" distL="0" distR="0" wp14:anchorId="6A035CB4" wp14:editId="1E085603">
            <wp:extent cx="3985200" cy="3240000"/>
            <wp:effectExtent l="0" t="0" r="0" b="0"/>
            <wp:docPr id="24" name="Диаграмма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07359" w:rsidRPr="00B67551" w:rsidRDefault="00707359" w:rsidP="00B67551">
      <w:pPr>
        <w:pStyle w:val="aa"/>
        <w:spacing w:line="360" w:lineRule="auto"/>
        <w:jc w:val="both"/>
        <w:rPr>
          <w:sz w:val="24"/>
          <w:szCs w:val="24"/>
        </w:rPr>
      </w:pPr>
      <w:r w:rsidRPr="00B67551">
        <w:rPr>
          <w:sz w:val="24"/>
          <w:szCs w:val="24"/>
        </w:rPr>
        <w:t xml:space="preserve">Рисунок </w:t>
      </w:r>
      <w:r w:rsidRPr="00B67551">
        <w:rPr>
          <w:sz w:val="24"/>
          <w:szCs w:val="24"/>
        </w:rPr>
        <w:fldChar w:fldCharType="begin"/>
      </w:r>
      <w:r w:rsidRPr="00B67551">
        <w:rPr>
          <w:sz w:val="24"/>
          <w:szCs w:val="24"/>
        </w:rPr>
        <w:instrText xml:space="preserve"> SEQ Рисунок \* ARABIC </w:instrText>
      </w:r>
      <w:r w:rsidRPr="00B67551">
        <w:rPr>
          <w:sz w:val="24"/>
          <w:szCs w:val="24"/>
        </w:rPr>
        <w:fldChar w:fldCharType="separate"/>
      </w:r>
      <w:r w:rsidR="00657BCD">
        <w:rPr>
          <w:noProof/>
          <w:sz w:val="24"/>
          <w:szCs w:val="24"/>
        </w:rPr>
        <w:t>2</w:t>
      </w:r>
      <w:r w:rsidRPr="00B67551">
        <w:rPr>
          <w:sz w:val="24"/>
          <w:szCs w:val="24"/>
        </w:rPr>
        <w:fldChar w:fldCharType="end"/>
      </w:r>
      <w:r w:rsidRPr="00B67551">
        <w:rPr>
          <w:sz w:val="24"/>
          <w:szCs w:val="24"/>
        </w:rPr>
        <w:t xml:space="preserve"> распределение больных по гендерному признаку</w:t>
      </w:r>
    </w:p>
    <w:p w:rsidR="00707359" w:rsidRPr="00B67551" w:rsidRDefault="00707359" w:rsidP="00B67551">
      <w:pPr>
        <w:spacing w:line="360" w:lineRule="auto"/>
        <w:rPr>
          <w:bCs/>
          <w:sz w:val="24"/>
        </w:rPr>
      </w:pPr>
    </w:p>
    <w:p w:rsidR="00EC59AC" w:rsidRPr="00B67551" w:rsidRDefault="00EC59AC" w:rsidP="00B67551">
      <w:pPr>
        <w:spacing w:line="360" w:lineRule="auto"/>
        <w:ind w:firstLine="708"/>
        <w:jc w:val="both"/>
        <w:rPr>
          <w:sz w:val="24"/>
        </w:rPr>
      </w:pPr>
      <w:r w:rsidRPr="00B67551">
        <w:rPr>
          <w:sz w:val="24"/>
        </w:rPr>
        <w:t xml:space="preserve">В предоперационном обследовании выполнялись клинические тесты и рентгенографические исследования в трех проекциях: прямой, боковой и аксиальной (в положении сгибания в </w:t>
      </w:r>
      <w:r w:rsidR="000B2423">
        <w:rPr>
          <w:sz w:val="24"/>
        </w:rPr>
        <w:t>коленном суставе под углом в 45</w:t>
      </w:r>
      <w:r w:rsidR="000B2423">
        <w:rPr>
          <w:sz w:val="24"/>
          <w:vertAlign w:val="superscript"/>
        </w:rPr>
        <w:t>0</w:t>
      </w:r>
      <w:r w:rsidRPr="00B67551">
        <w:rPr>
          <w:sz w:val="24"/>
        </w:rPr>
        <w:t xml:space="preserve">). Всем больным производилось </w:t>
      </w:r>
      <w:r w:rsidRPr="00B67551">
        <w:rPr>
          <w:sz w:val="24"/>
        </w:rPr>
        <w:lastRenderedPageBreak/>
        <w:t xml:space="preserve">УЗИ коленного сустава. Также выполнялись МРТ и КТ коленных суставов и КТ тазобедренных, коленных и голеностопных суставов с целью определения углов ротации сегментов нижней </w:t>
      </w:r>
      <w:r w:rsidR="00D12FA2" w:rsidRPr="00B67551">
        <w:rPr>
          <w:sz w:val="24"/>
        </w:rPr>
        <w:t>конечности,</w:t>
      </w:r>
      <w:r w:rsidRPr="00B67551">
        <w:rPr>
          <w:sz w:val="24"/>
        </w:rPr>
        <w:t xml:space="preserve"> а также индекса </w:t>
      </w:r>
      <w:r w:rsidRPr="00B67551">
        <w:rPr>
          <w:sz w:val="24"/>
          <w:lang w:val="en-US"/>
        </w:rPr>
        <w:t>TT</w:t>
      </w:r>
      <w:r w:rsidRPr="00B67551">
        <w:rPr>
          <w:sz w:val="24"/>
        </w:rPr>
        <w:t>-</w:t>
      </w:r>
      <w:r w:rsidRPr="00B67551">
        <w:rPr>
          <w:sz w:val="24"/>
          <w:lang w:val="en-US"/>
        </w:rPr>
        <w:t>TG</w:t>
      </w:r>
      <w:r w:rsidRPr="00B67551">
        <w:rPr>
          <w:sz w:val="24"/>
        </w:rPr>
        <w:t xml:space="preserve"> (103 пациента</w:t>
      </w:r>
      <w:r w:rsidR="00067977" w:rsidRPr="00B67551">
        <w:rPr>
          <w:sz w:val="24"/>
        </w:rPr>
        <w:t>, 75,2%</w:t>
      </w:r>
      <w:r w:rsidRPr="00B67551">
        <w:rPr>
          <w:sz w:val="24"/>
        </w:rPr>
        <w:t>)</w:t>
      </w:r>
      <w:r w:rsidR="00067977" w:rsidRPr="00B67551">
        <w:rPr>
          <w:sz w:val="24"/>
        </w:rPr>
        <w:t xml:space="preserve"> (рис.3)</w:t>
      </w:r>
      <w:r w:rsidRPr="00B67551">
        <w:rPr>
          <w:sz w:val="24"/>
        </w:rPr>
        <w:t xml:space="preserve">. </w:t>
      </w:r>
      <w:r w:rsidR="00D12FA2">
        <w:rPr>
          <w:sz w:val="24"/>
        </w:rPr>
        <w:t xml:space="preserve">Этим исследованиям при вывихе надколенника многие авторы придавали большое значение еще в конце 20 века </w:t>
      </w:r>
      <w:r w:rsidR="00D12FA2" w:rsidRPr="00D12FA2">
        <w:rPr>
          <w:sz w:val="24"/>
        </w:rPr>
        <w:t xml:space="preserve">[6]. </w:t>
      </w:r>
      <w:r w:rsidRPr="00B67551">
        <w:rPr>
          <w:sz w:val="24"/>
        </w:rPr>
        <w:t xml:space="preserve">Индекс </w:t>
      </w:r>
      <w:r w:rsidRPr="00B67551">
        <w:rPr>
          <w:sz w:val="24"/>
          <w:lang w:val="en-US"/>
        </w:rPr>
        <w:t>TT</w:t>
      </w:r>
      <w:r w:rsidRPr="00B67551">
        <w:rPr>
          <w:sz w:val="24"/>
        </w:rPr>
        <w:t>-</w:t>
      </w:r>
      <w:r w:rsidRPr="00B67551">
        <w:rPr>
          <w:sz w:val="24"/>
          <w:lang w:val="en-US"/>
        </w:rPr>
        <w:t>TG</w:t>
      </w:r>
      <w:r w:rsidRPr="00B67551">
        <w:rPr>
          <w:sz w:val="24"/>
        </w:rPr>
        <w:t xml:space="preserve"> является важным критерием, определяющим тактику хирургического лечения; показывает направление вектора действующей силы четырехглавой мышцы бедра. Этот индекс впервые был изучен 1978 году на аксиальных рентгенограммах коленного сустава поду углом сгибания в 30 градусов</w:t>
      </w:r>
      <w:r w:rsidR="005B3360">
        <w:rPr>
          <w:sz w:val="24"/>
        </w:rPr>
        <w:t xml:space="preserve"> </w:t>
      </w:r>
      <w:r w:rsidR="005B3360" w:rsidRPr="005B3360">
        <w:rPr>
          <w:sz w:val="24"/>
        </w:rPr>
        <w:t>[7]</w:t>
      </w:r>
      <w:r w:rsidR="005B3360" w:rsidRPr="00B67551">
        <w:rPr>
          <w:sz w:val="24"/>
        </w:rPr>
        <w:t>.</w:t>
      </w:r>
      <w:r w:rsidRPr="00B67551">
        <w:rPr>
          <w:sz w:val="24"/>
        </w:rPr>
        <w:t xml:space="preserve"> А в 1987 адаптировали это измерение на компьютерную томографию. При значении </w:t>
      </w:r>
      <w:r w:rsidRPr="00B67551">
        <w:rPr>
          <w:sz w:val="24"/>
          <w:lang w:val="en-US"/>
        </w:rPr>
        <w:t>TT</w:t>
      </w:r>
      <w:r w:rsidRPr="00B67551">
        <w:rPr>
          <w:sz w:val="24"/>
        </w:rPr>
        <w:t>-</w:t>
      </w:r>
      <w:r w:rsidRPr="00B67551">
        <w:rPr>
          <w:sz w:val="24"/>
          <w:lang w:val="en-US"/>
        </w:rPr>
        <w:t>TG</w:t>
      </w:r>
      <w:r w:rsidRPr="00B67551">
        <w:rPr>
          <w:sz w:val="24"/>
        </w:rPr>
        <w:t xml:space="preserve"> более 20 мм пациентам показана ее транспозиция. </w:t>
      </w:r>
    </w:p>
    <w:p w:rsidR="00EC59AC" w:rsidRPr="00B67551" w:rsidRDefault="00EC59AC" w:rsidP="00B67551">
      <w:pPr>
        <w:spacing w:line="360" w:lineRule="auto"/>
        <w:jc w:val="both"/>
        <w:rPr>
          <w:sz w:val="24"/>
        </w:rPr>
      </w:pPr>
      <w:r w:rsidRPr="00B67551">
        <w:rPr>
          <w:sz w:val="24"/>
        </w:rPr>
        <w:t xml:space="preserve">Также пациентам в отделении </w:t>
      </w:r>
      <w:proofErr w:type="gramStart"/>
      <w:r w:rsidR="000B2423">
        <w:rPr>
          <w:sz w:val="24"/>
        </w:rPr>
        <w:t>лечебно-диагностическая</w:t>
      </w:r>
      <w:proofErr w:type="gramEnd"/>
      <w:r w:rsidR="000B2423">
        <w:rPr>
          <w:sz w:val="24"/>
        </w:rPr>
        <w:t xml:space="preserve"> артроскопия.</w:t>
      </w:r>
    </w:p>
    <w:p w:rsidR="00067977" w:rsidRPr="00B67551" w:rsidRDefault="00067977" w:rsidP="00B67551">
      <w:pPr>
        <w:keepNext/>
        <w:spacing w:line="360" w:lineRule="auto"/>
        <w:jc w:val="both"/>
        <w:rPr>
          <w:sz w:val="24"/>
        </w:rPr>
      </w:pPr>
      <w:r w:rsidRPr="00B67551">
        <w:rPr>
          <w:noProof/>
          <w:sz w:val="24"/>
        </w:rPr>
        <w:drawing>
          <wp:inline distT="0" distB="0" distL="0" distR="0" wp14:anchorId="40D864CA" wp14:editId="489F7FF6">
            <wp:extent cx="2860643" cy="190500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742" cy="1908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977" w:rsidRPr="00B67551" w:rsidRDefault="00067977" w:rsidP="00B67551">
      <w:pPr>
        <w:pStyle w:val="aa"/>
        <w:spacing w:line="360" w:lineRule="auto"/>
        <w:jc w:val="both"/>
        <w:rPr>
          <w:sz w:val="24"/>
          <w:szCs w:val="24"/>
        </w:rPr>
      </w:pPr>
      <w:r w:rsidRPr="00B67551">
        <w:rPr>
          <w:sz w:val="24"/>
          <w:szCs w:val="24"/>
        </w:rPr>
        <w:t xml:space="preserve">Рисунок </w:t>
      </w:r>
      <w:r w:rsidRPr="00B67551">
        <w:rPr>
          <w:sz w:val="24"/>
          <w:szCs w:val="24"/>
        </w:rPr>
        <w:fldChar w:fldCharType="begin"/>
      </w:r>
      <w:r w:rsidRPr="00B67551">
        <w:rPr>
          <w:sz w:val="24"/>
          <w:szCs w:val="24"/>
        </w:rPr>
        <w:instrText xml:space="preserve"> SEQ Рисунок \* ARABIC </w:instrText>
      </w:r>
      <w:r w:rsidRPr="00B67551">
        <w:rPr>
          <w:sz w:val="24"/>
          <w:szCs w:val="24"/>
        </w:rPr>
        <w:fldChar w:fldCharType="separate"/>
      </w:r>
      <w:r w:rsidR="00657BCD">
        <w:rPr>
          <w:noProof/>
          <w:sz w:val="24"/>
          <w:szCs w:val="24"/>
        </w:rPr>
        <w:t>3</w:t>
      </w:r>
      <w:r w:rsidRPr="00B67551">
        <w:rPr>
          <w:sz w:val="24"/>
          <w:szCs w:val="24"/>
        </w:rPr>
        <w:fldChar w:fldCharType="end"/>
      </w:r>
      <w:r w:rsidRPr="00B67551">
        <w:rPr>
          <w:sz w:val="24"/>
          <w:szCs w:val="24"/>
        </w:rPr>
        <w:t xml:space="preserve"> Измерение индекса TT-TG</w:t>
      </w:r>
    </w:p>
    <w:p w:rsidR="00EC59AC" w:rsidRPr="00B67551" w:rsidRDefault="00EC59AC" w:rsidP="00B67551">
      <w:pPr>
        <w:spacing w:line="360" w:lineRule="auto"/>
        <w:ind w:firstLine="708"/>
        <w:jc w:val="both"/>
        <w:rPr>
          <w:sz w:val="24"/>
        </w:rPr>
      </w:pPr>
      <w:r w:rsidRPr="00B67551">
        <w:rPr>
          <w:sz w:val="24"/>
        </w:rPr>
        <w:t>Больным выполнена артроскопическая стабилизация надколенника по методике Ямамото (1</w:t>
      </w:r>
      <w:r w:rsidR="00067977" w:rsidRPr="00B67551">
        <w:rPr>
          <w:sz w:val="24"/>
        </w:rPr>
        <w:t>3</w:t>
      </w:r>
      <w:r w:rsidRPr="00B67551">
        <w:rPr>
          <w:sz w:val="24"/>
        </w:rPr>
        <w:t>7 пациентов). Части больных</w:t>
      </w:r>
      <w:r w:rsidR="00464EA2" w:rsidRPr="00B67551">
        <w:rPr>
          <w:sz w:val="24"/>
        </w:rPr>
        <w:t xml:space="preserve"> – 58 детей (42.3%) – </w:t>
      </w:r>
      <w:r w:rsidRPr="00B67551">
        <w:rPr>
          <w:sz w:val="24"/>
        </w:rPr>
        <w:t>выполнял</w:t>
      </w:r>
      <w:r w:rsidR="00464EA2" w:rsidRPr="00B67551">
        <w:rPr>
          <w:sz w:val="24"/>
        </w:rPr>
        <w:t>ис</w:t>
      </w:r>
      <w:r w:rsidRPr="00B67551">
        <w:rPr>
          <w:sz w:val="24"/>
        </w:rPr>
        <w:t>ь</w:t>
      </w:r>
      <w:r w:rsidR="00464EA2" w:rsidRPr="00B67551">
        <w:rPr>
          <w:sz w:val="24"/>
        </w:rPr>
        <w:t xml:space="preserve"> различные варианты</w:t>
      </w:r>
      <w:r w:rsidRPr="00B67551">
        <w:rPr>
          <w:sz w:val="24"/>
        </w:rPr>
        <w:t xml:space="preserve"> транспозици</w:t>
      </w:r>
      <w:r w:rsidR="00464EA2" w:rsidRPr="00B67551">
        <w:rPr>
          <w:sz w:val="24"/>
        </w:rPr>
        <w:t>и</w:t>
      </w:r>
      <w:r w:rsidRPr="00B67551">
        <w:rPr>
          <w:sz w:val="24"/>
        </w:rPr>
        <w:t xml:space="preserve"> бугристости большеберцовой кости</w:t>
      </w:r>
      <w:r w:rsidR="00464EA2" w:rsidRPr="00B67551">
        <w:rPr>
          <w:sz w:val="24"/>
        </w:rPr>
        <w:t xml:space="preserve"> (рис. 4)</w:t>
      </w:r>
      <w:r w:rsidRPr="00B67551">
        <w:rPr>
          <w:sz w:val="24"/>
        </w:rPr>
        <w:t xml:space="preserve">, корригирующая </w:t>
      </w:r>
      <w:proofErr w:type="spellStart"/>
      <w:r w:rsidRPr="00B67551">
        <w:rPr>
          <w:sz w:val="24"/>
        </w:rPr>
        <w:t>надмыщелковая</w:t>
      </w:r>
      <w:proofErr w:type="spellEnd"/>
      <w:r w:rsidRPr="00B67551">
        <w:rPr>
          <w:sz w:val="24"/>
        </w:rPr>
        <w:t xml:space="preserve"> остеотомия бедренной кости (</w:t>
      </w:r>
      <w:r w:rsidR="00464EA2" w:rsidRPr="00B67551">
        <w:rPr>
          <w:sz w:val="24"/>
        </w:rPr>
        <w:t>3</w:t>
      </w:r>
      <w:r w:rsidRPr="00B67551">
        <w:rPr>
          <w:sz w:val="24"/>
        </w:rPr>
        <w:t xml:space="preserve"> </w:t>
      </w:r>
      <w:r w:rsidR="00464EA2" w:rsidRPr="00B67551">
        <w:rPr>
          <w:sz w:val="24"/>
        </w:rPr>
        <w:t>пациента – 2,2%</w:t>
      </w:r>
      <w:r w:rsidRPr="00B67551">
        <w:rPr>
          <w:sz w:val="24"/>
        </w:rPr>
        <w:t>).</w:t>
      </w:r>
    </w:p>
    <w:p w:rsidR="00464EA2" w:rsidRPr="00B67551" w:rsidRDefault="00464EA2" w:rsidP="00B67551">
      <w:pPr>
        <w:keepNext/>
        <w:spacing w:line="360" w:lineRule="auto"/>
        <w:ind w:firstLine="708"/>
        <w:jc w:val="both"/>
        <w:rPr>
          <w:sz w:val="24"/>
        </w:rPr>
      </w:pPr>
      <w:r w:rsidRPr="00B67551">
        <w:rPr>
          <w:noProof/>
          <w:sz w:val="24"/>
        </w:rPr>
        <w:lastRenderedPageBreak/>
        <w:drawing>
          <wp:inline distT="0" distB="0" distL="0" distR="0" wp14:anchorId="29FCCD65" wp14:editId="62606B0A">
            <wp:extent cx="4321175" cy="2844800"/>
            <wp:effectExtent l="19050" t="0" r="3175" b="0"/>
            <wp:docPr id="26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09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175" cy="2844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64EA2" w:rsidRPr="00B67551" w:rsidRDefault="00464EA2" w:rsidP="00B67551">
      <w:pPr>
        <w:pStyle w:val="aa"/>
        <w:spacing w:line="360" w:lineRule="auto"/>
        <w:jc w:val="both"/>
        <w:rPr>
          <w:sz w:val="24"/>
          <w:szCs w:val="24"/>
        </w:rPr>
      </w:pPr>
      <w:r w:rsidRPr="00B67551">
        <w:rPr>
          <w:sz w:val="24"/>
          <w:szCs w:val="24"/>
        </w:rPr>
        <w:t xml:space="preserve">Рисунок </w:t>
      </w:r>
      <w:r w:rsidRPr="00B67551">
        <w:rPr>
          <w:sz w:val="24"/>
          <w:szCs w:val="24"/>
        </w:rPr>
        <w:fldChar w:fldCharType="begin"/>
      </w:r>
      <w:r w:rsidRPr="00B67551">
        <w:rPr>
          <w:sz w:val="24"/>
          <w:szCs w:val="24"/>
        </w:rPr>
        <w:instrText xml:space="preserve"> SEQ Рисунок \* ARABIC </w:instrText>
      </w:r>
      <w:r w:rsidRPr="00B67551">
        <w:rPr>
          <w:sz w:val="24"/>
          <w:szCs w:val="24"/>
        </w:rPr>
        <w:fldChar w:fldCharType="separate"/>
      </w:r>
      <w:r w:rsidR="00657BCD">
        <w:rPr>
          <w:noProof/>
          <w:sz w:val="24"/>
          <w:szCs w:val="24"/>
        </w:rPr>
        <w:t>4</w:t>
      </w:r>
      <w:r w:rsidRPr="00B67551">
        <w:rPr>
          <w:sz w:val="24"/>
          <w:szCs w:val="24"/>
        </w:rPr>
        <w:fldChar w:fldCharType="end"/>
      </w:r>
      <w:r w:rsidRPr="00B67551">
        <w:rPr>
          <w:sz w:val="24"/>
          <w:szCs w:val="24"/>
        </w:rPr>
        <w:t xml:space="preserve"> Варианты транспозиции бугристости большеберцовой кости</w:t>
      </w:r>
    </w:p>
    <w:p w:rsidR="00EC59AC" w:rsidRPr="00B67551" w:rsidRDefault="00EC59AC" w:rsidP="00B67551">
      <w:pPr>
        <w:spacing w:line="360" w:lineRule="auto"/>
        <w:ind w:firstLine="708"/>
        <w:jc w:val="both"/>
        <w:rPr>
          <w:sz w:val="24"/>
        </w:rPr>
      </w:pPr>
      <w:r w:rsidRPr="00B67551">
        <w:rPr>
          <w:sz w:val="24"/>
        </w:rPr>
        <w:t xml:space="preserve">Оценка результатов лечения производится клинически и по системам IKDC 2000, </w:t>
      </w:r>
      <w:proofErr w:type="spellStart"/>
      <w:r w:rsidRPr="00B67551">
        <w:rPr>
          <w:sz w:val="24"/>
        </w:rPr>
        <w:t>Lysholm</w:t>
      </w:r>
      <w:proofErr w:type="spellEnd"/>
      <w:r w:rsidRPr="00B67551">
        <w:rPr>
          <w:sz w:val="24"/>
        </w:rPr>
        <w:t xml:space="preserve"> </w:t>
      </w:r>
      <w:proofErr w:type="spellStart"/>
      <w:r w:rsidRPr="00B67551">
        <w:rPr>
          <w:sz w:val="24"/>
        </w:rPr>
        <w:t>knee</w:t>
      </w:r>
      <w:proofErr w:type="spellEnd"/>
      <w:r w:rsidRPr="00B67551">
        <w:rPr>
          <w:sz w:val="24"/>
        </w:rPr>
        <w:t xml:space="preserve"> </w:t>
      </w:r>
      <w:proofErr w:type="spellStart"/>
      <w:r w:rsidRPr="00B67551">
        <w:rPr>
          <w:sz w:val="24"/>
        </w:rPr>
        <w:t>function</w:t>
      </w:r>
      <w:proofErr w:type="spellEnd"/>
      <w:r w:rsidRPr="00B67551">
        <w:rPr>
          <w:sz w:val="24"/>
        </w:rPr>
        <w:t xml:space="preserve"> </w:t>
      </w:r>
      <w:proofErr w:type="spellStart"/>
      <w:r w:rsidRPr="00B67551">
        <w:rPr>
          <w:sz w:val="24"/>
        </w:rPr>
        <w:t>scoring</w:t>
      </w:r>
      <w:proofErr w:type="spellEnd"/>
      <w:r w:rsidRPr="00B67551">
        <w:rPr>
          <w:sz w:val="24"/>
        </w:rPr>
        <w:t xml:space="preserve"> </w:t>
      </w:r>
      <w:proofErr w:type="spellStart"/>
      <w:r w:rsidRPr="00B67551">
        <w:rPr>
          <w:sz w:val="24"/>
        </w:rPr>
        <w:t>scale</w:t>
      </w:r>
      <w:proofErr w:type="spellEnd"/>
      <w:r w:rsidRPr="00B67551">
        <w:rPr>
          <w:sz w:val="24"/>
        </w:rPr>
        <w:t xml:space="preserve">, </w:t>
      </w:r>
      <w:proofErr w:type="spellStart"/>
      <w:r w:rsidRPr="00B67551">
        <w:rPr>
          <w:sz w:val="24"/>
        </w:rPr>
        <w:t>Anterior</w:t>
      </w:r>
      <w:proofErr w:type="spellEnd"/>
      <w:r w:rsidRPr="00B67551">
        <w:rPr>
          <w:sz w:val="24"/>
        </w:rPr>
        <w:t xml:space="preserve"> </w:t>
      </w:r>
      <w:proofErr w:type="spellStart"/>
      <w:r w:rsidRPr="00B67551">
        <w:rPr>
          <w:sz w:val="24"/>
        </w:rPr>
        <w:t>Knee</w:t>
      </w:r>
      <w:proofErr w:type="spellEnd"/>
      <w:r w:rsidRPr="00B67551">
        <w:rPr>
          <w:sz w:val="24"/>
        </w:rPr>
        <w:t xml:space="preserve"> </w:t>
      </w:r>
      <w:proofErr w:type="spellStart"/>
      <w:r w:rsidRPr="00B67551">
        <w:rPr>
          <w:sz w:val="24"/>
        </w:rPr>
        <w:t>Pain</w:t>
      </w:r>
      <w:proofErr w:type="spellEnd"/>
      <w:r w:rsidRPr="00B67551">
        <w:rPr>
          <w:sz w:val="24"/>
        </w:rPr>
        <w:t xml:space="preserve"> </w:t>
      </w:r>
      <w:proofErr w:type="spellStart"/>
      <w:r w:rsidRPr="00B67551">
        <w:rPr>
          <w:sz w:val="24"/>
        </w:rPr>
        <w:t>Scale</w:t>
      </w:r>
      <w:proofErr w:type="spellEnd"/>
      <w:r w:rsidRPr="00B67551">
        <w:rPr>
          <w:sz w:val="24"/>
        </w:rPr>
        <w:t xml:space="preserve"> (AKPS) через 1-</w:t>
      </w:r>
      <w:r w:rsidR="000B2423">
        <w:rPr>
          <w:sz w:val="24"/>
        </w:rPr>
        <w:t>3</w:t>
      </w:r>
      <w:r w:rsidRPr="00B67551">
        <w:rPr>
          <w:sz w:val="24"/>
        </w:rPr>
        <w:t xml:space="preserve"> </w:t>
      </w:r>
      <w:r w:rsidR="000B2423">
        <w:rPr>
          <w:sz w:val="24"/>
        </w:rPr>
        <w:t>года после операции. Также при</w:t>
      </w:r>
      <w:r w:rsidRPr="00B67551">
        <w:rPr>
          <w:sz w:val="24"/>
        </w:rPr>
        <w:t xml:space="preserve"> контрольных осмотрах больным </w:t>
      </w:r>
      <w:r w:rsidR="000B2423">
        <w:rPr>
          <w:sz w:val="24"/>
        </w:rPr>
        <w:t>выполнялись</w:t>
      </w:r>
      <w:r w:rsidRPr="00B67551">
        <w:rPr>
          <w:sz w:val="24"/>
        </w:rPr>
        <w:t xml:space="preserve"> идентичные клинические тесты, рентгенографии и магнитно-резонансные томографии с соответствующими проекциями и срезами до и после оперативного лечения. </w:t>
      </w:r>
    </w:p>
    <w:p w:rsidR="00464EA2" w:rsidRPr="00B67551" w:rsidRDefault="00464EA2" w:rsidP="00B67551">
      <w:pPr>
        <w:spacing w:line="360" w:lineRule="auto"/>
        <w:rPr>
          <w:b/>
          <w:bCs/>
          <w:sz w:val="24"/>
        </w:rPr>
      </w:pPr>
    </w:p>
    <w:p w:rsidR="00464EA2" w:rsidRPr="00B67551" w:rsidRDefault="00464EA2" w:rsidP="00B67551">
      <w:pPr>
        <w:spacing w:line="360" w:lineRule="auto"/>
        <w:rPr>
          <w:bCs/>
          <w:sz w:val="24"/>
        </w:rPr>
      </w:pPr>
      <w:r w:rsidRPr="00B67551">
        <w:rPr>
          <w:b/>
          <w:bCs/>
          <w:sz w:val="24"/>
        </w:rPr>
        <w:t>Результаты</w:t>
      </w:r>
    </w:p>
    <w:p w:rsidR="00464EA2" w:rsidRPr="00B67551" w:rsidRDefault="00464EA2" w:rsidP="00B97EB2">
      <w:pPr>
        <w:spacing w:line="360" w:lineRule="auto"/>
        <w:jc w:val="both"/>
        <w:rPr>
          <w:bCs/>
          <w:sz w:val="24"/>
        </w:rPr>
      </w:pPr>
      <w:r w:rsidRPr="00B67551">
        <w:rPr>
          <w:bCs/>
          <w:sz w:val="24"/>
        </w:rPr>
        <w:t>Наиболее частой причиной оперативного лечения методом артроскопической стабилизации надколенника, без выполнения расширенных костных операций явилась рецидивирующая нестабильность надколенника, когда в анамнезе было более 2- вывихов надколенника</w:t>
      </w:r>
      <w:r w:rsidR="00E9502E" w:rsidRPr="00B67551">
        <w:rPr>
          <w:bCs/>
          <w:sz w:val="24"/>
        </w:rPr>
        <w:t>, но при отсутствии грубых ротационных костных деформаций</w:t>
      </w:r>
      <w:r w:rsidRPr="00B67551">
        <w:rPr>
          <w:bCs/>
          <w:sz w:val="24"/>
        </w:rPr>
        <w:t xml:space="preserve">. </w:t>
      </w:r>
      <w:r w:rsidR="00E9502E" w:rsidRPr="00B67551">
        <w:rPr>
          <w:bCs/>
          <w:sz w:val="24"/>
        </w:rPr>
        <w:t>Н</w:t>
      </w:r>
      <w:r w:rsidRPr="00B67551">
        <w:rPr>
          <w:bCs/>
          <w:sz w:val="24"/>
        </w:rPr>
        <w:t>аиболее часто обращались дети, которые занимаются спортом, а также имеющие дисплазию соединительной ткани, при этом вывих надколенника происходит без выраженного травмирующего фактора.</w:t>
      </w:r>
      <w:r w:rsidR="00E9502E" w:rsidRPr="00B67551">
        <w:rPr>
          <w:bCs/>
          <w:sz w:val="24"/>
        </w:rPr>
        <w:t xml:space="preserve"> Дети, у которых были диагностированы костные деформации и закрыты зоны роста, производилась транспозиция бугристости большеберцовой кости. </w:t>
      </w:r>
      <w:r w:rsidR="000B2423">
        <w:rPr>
          <w:bCs/>
          <w:sz w:val="24"/>
        </w:rPr>
        <w:t>На основании клинических данных, данных иссле</w:t>
      </w:r>
      <w:r w:rsidR="00B97EB2">
        <w:rPr>
          <w:bCs/>
          <w:sz w:val="24"/>
        </w:rPr>
        <w:t xml:space="preserve">дований и наблюдений пациентов </w:t>
      </w:r>
      <w:r w:rsidR="000B2423">
        <w:rPr>
          <w:bCs/>
          <w:sz w:val="24"/>
        </w:rPr>
        <w:t>предложен алгоритм лечения больных с нестабильностью надколенника</w:t>
      </w:r>
      <w:r w:rsidR="003D3EFA" w:rsidRPr="00B67551">
        <w:rPr>
          <w:bCs/>
          <w:sz w:val="24"/>
        </w:rPr>
        <w:t xml:space="preserve"> (табл. 1)</w:t>
      </w:r>
      <w:r w:rsidR="00E9502E" w:rsidRPr="00B67551">
        <w:rPr>
          <w:bCs/>
          <w:sz w:val="24"/>
        </w:rPr>
        <w:t>.</w:t>
      </w:r>
    </w:p>
    <w:p w:rsidR="003D3EFA" w:rsidRPr="00B67551" w:rsidRDefault="003D3EFA" w:rsidP="00B67551">
      <w:pPr>
        <w:spacing w:line="360" w:lineRule="auto"/>
        <w:rPr>
          <w:bCs/>
          <w:sz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42"/>
        <w:gridCol w:w="8329"/>
      </w:tblGrid>
      <w:tr w:rsidR="003D3EFA" w:rsidRPr="00B67551" w:rsidTr="00B34B33">
        <w:tc>
          <w:tcPr>
            <w:tcW w:w="1242" w:type="dxa"/>
          </w:tcPr>
          <w:p w:rsidR="003D3EFA" w:rsidRPr="00B67551" w:rsidRDefault="003D3EFA" w:rsidP="00B67551">
            <w:pPr>
              <w:pStyle w:val="a3"/>
              <w:numPr>
                <w:ilvl w:val="0"/>
                <w:numId w:val="48"/>
              </w:num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8329" w:type="dxa"/>
          </w:tcPr>
          <w:p w:rsidR="003D3EFA" w:rsidRPr="00B67551" w:rsidRDefault="003D3EFA" w:rsidP="00B67551">
            <w:pPr>
              <w:numPr>
                <w:ilvl w:val="0"/>
                <w:numId w:val="5"/>
              </w:numPr>
              <w:tabs>
                <w:tab w:val="clear" w:pos="720"/>
                <w:tab w:val="num" w:pos="1276"/>
              </w:tabs>
              <w:autoSpaceDE w:val="0"/>
              <w:autoSpaceDN w:val="0"/>
              <w:adjustRightInd w:val="0"/>
              <w:spacing w:line="360" w:lineRule="auto"/>
              <w:ind w:left="1276" w:hanging="567"/>
              <w:jc w:val="both"/>
              <w:rPr>
                <w:sz w:val="24"/>
              </w:rPr>
            </w:pPr>
            <w:r w:rsidRPr="00B67551">
              <w:rPr>
                <w:sz w:val="24"/>
              </w:rPr>
              <w:t xml:space="preserve">Дети с функционирующими </w:t>
            </w:r>
            <w:r w:rsidR="00B97EB2">
              <w:rPr>
                <w:sz w:val="24"/>
              </w:rPr>
              <w:t>зонами роста</w:t>
            </w:r>
          </w:p>
          <w:p w:rsidR="003D3EFA" w:rsidRPr="00B67551" w:rsidRDefault="003D3EFA" w:rsidP="00B67551">
            <w:pPr>
              <w:numPr>
                <w:ilvl w:val="0"/>
                <w:numId w:val="5"/>
              </w:numPr>
              <w:tabs>
                <w:tab w:val="num" w:pos="1276"/>
              </w:tabs>
              <w:autoSpaceDE w:val="0"/>
              <w:autoSpaceDN w:val="0"/>
              <w:adjustRightInd w:val="0"/>
              <w:spacing w:line="360" w:lineRule="auto"/>
              <w:ind w:left="1276" w:hanging="567"/>
              <w:jc w:val="both"/>
              <w:rPr>
                <w:sz w:val="24"/>
              </w:rPr>
            </w:pPr>
            <w:r w:rsidRPr="00B67551">
              <w:rPr>
                <w:sz w:val="24"/>
              </w:rPr>
              <w:t xml:space="preserve">Дистанция </w:t>
            </w:r>
            <w:r w:rsidRPr="00B67551">
              <w:rPr>
                <w:sz w:val="24"/>
                <w:lang w:val="en-US"/>
              </w:rPr>
              <w:t xml:space="preserve">TT-TG &lt;20 </w:t>
            </w:r>
            <w:r w:rsidRPr="00B67551">
              <w:rPr>
                <w:sz w:val="24"/>
              </w:rPr>
              <w:t>мм</w:t>
            </w:r>
          </w:p>
          <w:p w:rsidR="003D3EFA" w:rsidRPr="00B67551" w:rsidRDefault="003D3EFA" w:rsidP="00B67551">
            <w:pPr>
              <w:pStyle w:val="a3"/>
              <w:numPr>
                <w:ilvl w:val="0"/>
                <w:numId w:val="5"/>
              </w:numPr>
              <w:tabs>
                <w:tab w:val="num" w:pos="1276"/>
              </w:tabs>
              <w:autoSpaceDE w:val="0"/>
              <w:autoSpaceDN w:val="0"/>
              <w:adjustRightInd w:val="0"/>
              <w:spacing w:line="360" w:lineRule="auto"/>
              <w:ind w:hanging="11"/>
              <w:jc w:val="both"/>
              <w:rPr>
                <w:sz w:val="24"/>
              </w:rPr>
            </w:pPr>
            <w:r w:rsidRPr="00B67551">
              <w:rPr>
                <w:sz w:val="24"/>
              </w:rPr>
              <w:t>Отсутствует ротационная и осевая деформация:</w:t>
            </w:r>
          </w:p>
          <w:p w:rsidR="003D3EFA" w:rsidRPr="00B67551" w:rsidRDefault="003D3EFA" w:rsidP="00B67551">
            <w:pPr>
              <w:numPr>
                <w:ilvl w:val="0"/>
                <w:numId w:val="6"/>
              </w:numPr>
              <w:tabs>
                <w:tab w:val="num" w:pos="1276"/>
              </w:tabs>
              <w:autoSpaceDE w:val="0"/>
              <w:autoSpaceDN w:val="0"/>
              <w:adjustRightInd w:val="0"/>
              <w:spacing w:line="360" w:lineRule="auto"/>
              <w:ind w:left="1276" w:hanging="567"/>
              <w:jc w:val="both"/>
              <w:rPr>
                <w:sz w:val="24"/>
              </w:rPr>
            </w:pPr>
            <w:r w:rsidRPr="00B67551">
              <w:rPr>
                <w:sz w:val="24"/>
              </w:rPr>
              <w:lastRenderedPageBreak/>
              <w:t>Артроскопическое восстановление медиальной поддерживающей связки надколенник</w:t>
            </w:r>
          </w:p>
          <w:p w:rsidR="003D3EFA" w:rsidRPr="00B67551" w:rsidRDefault="003D3EFA" w:rsidP="00B67551">
            <w:pPr>
              <w:numPr>
                <w:ilvl w:val="0"/>
                <w:numId w:val="6"/>
              </w:numPr>
              <w:tabs>
                <w:tab w:val="num" w:pos="1276"/>
              </w:tabs>
              <w:autoSpaceDE w:val="0"/>
              <w:autoSpaceDN w:val="0"/>
              <w:adjustRightInd w:val="0"/>
              <w:spacing w:line="360" w:lineRule="auto"/>
              <w:ind w:left="1276" w:hanging="567"/>
              <w:jc w:val="both"/>
              <w:rPr>
                <w:sz w:val="24"/>
              </w:rPr>
            </w:pPr>
            <w:r w:rsidRPr="00B67551">
              <w:rPr>
                <w:sz w:val="24"/>
              </w:rPr>
              <w:t>Латеральный релиз</w:t>
            </w:r>
          </w:p>
          <w:p w:rsidR="003D3EFA" w:rsidRPr="00B67551" w:rsidRDefault="003D3EFA" w:rsidP="00B67551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3D3EFA" w:rsidRPr="00B67551" w:rsidTr="00B34B33">
        <w:tc>
          <w:tcPr>
            <w:tcW w:w="1242" w:type="dxa"/>
          </w:tcPr>
          <w:p w:rsidR="003D3EFA" w:rsidRPr="00B67551" w:rsidRDefault="003D3EFA" w:rsidP="00B67551">
            <w:pPr>
              <w:pStyle w:val="a3"/>
              <w:numPr>
                <w:ilvl w:val="0"/>
                <w:numId w:val="48"/>
              </w:num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8329" w:type="dxa"/>
          </w:tcPr>
          <w:p w:rsidR="003D3EFA" w:rsidRPr="00B67551" w:rsidRDefault="003D3EFA" w:rsidP="00B67551">
            <w:pPr>
              <w:numPr>
                <w:ilvl w:val="0"/>
                <w:numId w:val="7"/>
              </w:numPr>
              <w:tabs>
                <w:tab w:val="clear" w:pos="720"/>
                <w:tab w:val="num" w:pos="1276"/>
              </w:tabs>
              <w:autoSpaceDE w:val="0"/>
              <w:autoSpaceDN w:val="0"/>
              <w:adjustRightInd w:val="0"/>
              <w:spacing w:line="360" w:lineRule="auto"/>
              <w:ind w:left="1276" w:hanging="567"/>
              <w:jc w:val="both"/>
              <w:rPr>
                <w:sz w:val="24"/>
              </w:rPr>
            </w:pPr>
            <w:r w:rsidRPr="00B67551">
              <w:rPr>
                <w:sz w:val="24"/>
              </w:rPr>
              <w:t xml:space="preserve">Дистанция </w:t>
            </w:r>
            <w:r w:rsidRPr="00B67551">
              <w:rPr>
                <w:sz w:val="24"/>
                <w:lang w:val="en-US"/>
              </w:rPr>
              <w:t xml:space="preserve">TT-TG &gt;20 </w:t>
            </w:r>
            <w:r w:rsidRPr="00B67551">
              <w:rPr>
                <w:sz w:val="24"/>
              </w:rPr>
              <w:t>мм</w:t>
            </w:r>
            <w:r w:rsidRPr="00B67551">
              <w:rPr>
                <w:sz w:val="24"/>
                <w:lang w:val="en-US"/>
              </w:rPr>
              <w:t xml:space="preserve"> </w:t>
            </w:r>
          </w:p>
          <w:p w:rsidR="003D3EFA" w:rsidRPr="00B67551" w:rsidRDefault="003D3EFA" w:rsidP="00B67551">
            <w:pPr>
              <w:numPr>
                <w:ilvl w:val="0"/>
                <w:numId w:val="7"/>
              </w:numPr>
              <w:tabs>
                <w:tab w:val="clear" w:pos="720"/>
                <w:tab w:val="num" w:pos="1276"/>
              </w:tabs>
              <w:autoSpaceDE w:val="0"/>
              <w:autoSpaceDN w:val="0"/>
              <w:adjustRightInd w:val="0"/>
              <w:spacing w:line="360" w:lineRule="auto"/>
              <w:ind w:left="1276" w:hanging="567"/>
              <w:jc w:val="both"/>
              <w:rPr>
                <w:sz w:val="24"/>
              </w:rPr>
            </w:pPr>
            <w:r w:rsidRPr="00B67551">
              <w:rPr>
                <w:sz w:val="24"/>
              </w:rPr>
              <w:t>Высокий надколенник</w:t>
            </w:r>
          </w:p>
          <w:p w:rsidR="003D3EFA" w:rsidRPr="00B67551" w:rsidRDefault="003D3EFA" w:rsidP="00B67551">
            <w:pPr>
              <w:numPr>
                <w:ilvl w:val="0"/>
                <w:numId w:val="7"/>
              </w:numPr>
              <w:tabs>
                <w:tab w:val="clear" w:pos="720"/>
                <w:tab w:val="num" w:pos="1276"/>
              </w:tabs>
              <w:autoSpaceDE w:val="0"/>
              <w:autoSpaceDN w:val="0"/>
              <w:adjustRightInd w:val="0"/>
              <w:spacing w:line="360" w:lineRule="auto"/>
              <w:ind w:left="1276" w:hanging="567"/>
              <w:jc w:val="both"/>
              <w:rPr>
                <w:sz w:val="24"/>
              </w:rPr>
            </w:pPr>
            <w:r w:rsidRPr="00B67551">
              <w:rPr>
                <w:sz w:val="24"/>
              </w:rPr>
              <w:t>Отсутствует ротационная и осевая деформация</w:t>
            </w:r>
            <w:r w:rsidRPr="00B67551">
              <w:rPr>
                <w:sz w:val="24"/>
                <w:lang w:val="en-US"/>
              </w:rPr>
              <w:t xml:space="preserve"> </w:t>
            </w:r>
          </w:p>
          <w:p w:rsidR="003D3EFA" w:rsidRPr="00B67551" w:rsidRDefault="003D3EFA" w:rsidP="00B67551">
            <w:pPr>
              <w:numPr>
                <w:ilvl w:val="0"/>
                <w:numId w:val="8"/>
              </w:numPr>
              <w:tabs>
                <w:tab w:val="clear" w:pos="720"/>
                <w:tab w:val="num" w:pos="1276"/>
              </w:tabs>
              <w:autoSpaceDE w:val="0"/>
              <w:autoSpaceDN w:val="0"/>
              <w:adjustRightInd w:val="0"/>
              <w:spacing w:line="360" w:lineRule="auto"/>
              <w:ind w:left="1276" w:hanging="567"/>
              <w:jc w:val="both"/>
              <w:rPr>
                <w:sz w:val="24"/>
              </w:rPr>
            </w:pPr>
            <w:r w:rsidRPr="00B67551">
              <w:rPr>
                <w:sz w:val="24"/>
              </w:rPr>
              <w:t>Артроскопическое восстановление медиальной поддерживающей связки надколенник</w:t>
            </w:r>
          </w:p>
          <w:p w:rsidR="003D3EFA" w:rsidRPr="00B67551" w:rsidRDefault="003D3EFA" w:rsidP="00B67551">
            <w:pPr>
              <w:numPr>
                <w:ilvl w:val="0"/>
                <w:numId w:val="8"/>
              </w:numPr>
              <w:tabs>
                <w:tab w:val="clear" w:pos="720"/>
                <w:tab w:val="num" w:pos="1276"/>
              </w:tabs>
              <w:autoSpaceDE w:val="0"/>
              <w:autoSpaceDN w:val="0"/>
              <w:adjustRightInd w:val="0"/>
              <w:spacing w:line="360" w:lineRule="auto"/>
              <w:ind w:left="1276" w:hanging="567"/>
              <w:jc w:val="both"/>
              <w:rPr>
                <w:sz w:val="24"/>
              </w:rPr>
            </w:pPr>
            <w:r w:rsidRPr="00B67551">
              <w:rPr>
                <w:sz w:val="24"/>
              </w:rPr>
              <w:t>Латеральный релиз</w:t>
            </w:r>
          </w:p>
          <w:p w:rsidR="003D3EFA" w:rsidRPr="00B67551" w:rsidRDefault="003D3EFA" w:rsidP="00B67551">
            <w:pPr>
              <w:numPr>
                <w:ilvl w:val="0"/>
                <w:numId w:val="8"/>
              </w:numPr>
              <w:tabs>
                <w:tab w:val="clear" w:pos="720"/>
                <w:tab w:val="num" w:pos="1276"/>
              </w:tabs>
              <w:autoSpaceDE w:val="0"/>
              <w:autoSpaceDN w:val="0"/>
              <w:adjustRightInd w:val="0"/>
              <w:spacing w:line="360" w:lineRule="auto"/>
              <w:ind w:left="1276" w:hanging="567"/>
              <w:jc w:val="both"/>
              <w:rPr>
                <w:sz w:val="24"/>
              </w:rPr>
            </w:pPr>
            <w:r w:rsidRPr="00B67551">
              <w:rPr>
                <w:sz w:val="24"/>
              </w:rPr>
              <w:t>Транспозиция бугристости большеберцовой кости</w:t>
            </w:r>
          </w:p>
          <w:p w:rsidR="003D3EFA" w:rsidRPr="00B67551" w:rsidRDefault="003D3EFA" w:rsidP="00B67551">
            <w:pPr>
              <w:spacing w:line="360" w:lineRule="auto"/>
              <w:jc w:val="both"/>
              <w:rPr>
                <w:sz w:val="24"/>
              </w:rPr>
            </w:pPr>
          </w:p>
        </w:tc>
      </w:tr>
    </w:tbl>
    <w:p w:rsidR="003D3EFA" w:rsidRPr="00B67551" w:rsidRDefault="003D3EFA" w:rsidP="00B67551">
      <w:pPr>
        <w:pStyle w:val="aa"/>
        <w:spacing w:line="360" w:lineRule="auto"/>
        <w:rPr>
          <w:bCs w:val="0"/>
          <w:sz w:val="24"/>
          <w:szCs w:val="24"/>
        </w:rPr>
      </w:pPr>
      <w:r w:rsidRPr="00B67551">
        <w:rPr>
          <w:sz w:val="24"/>
          <w:szCs w:val="24"/>
        </w:rPr>
        <w:t xml:space="preserve">Таблица </w:t>
      </w:r>
      <w:r w:rsidRPr="00B67551">
        <w:rPr>
          <w:sz w:val="24"/>
          <w:szCs w:val="24"/>
        </w:rPr>
        <w:fldChar w:fldCharType="begin"/>
      </w:r>
      <w:r w:rsidRPr="00B67551">
        <w:rPr>
          <w:sz w:val="24"/>
          <w:szCs w:val="24"/>
        </w:rPr>
        <w:instrText xml:space="preserve"> SEQ Таблица \* ARABIC </w:instrText>
      </w:r>
      <w:r w:rsidRPr="00B67551">
        <w:rPr>
          <w:sz w:val="24"/>
          <w:szCs w:val="24"/>
        </w:rPr>
        <w:fldChar w:fldCharType="separate"/>
      </w:r>
      <w:r w:rsidR="00657BCD">
        <w:rPr>
          <w:noProof/>
          <w:sz w:val="24"/>
          <w:szCs w:val="24"/>
        </w:rPr>
        <w:t>1</w:t>
      </w:r>
      <w:r w:rsidRPr="00B67551">
        <w:rPr>
          <w:sz w:val="24"/>
          <w:szCs w:val="24"/>
        </w:rPr>
        <w:fldChar w:fldCharType="end"/>
      </w:r>
      <w:r w:rsidRPr="00B67551">
        <w:rPr>
          <w:sz w:val="24"/>
          <w:szCs w:val="24"/>
        </w:rPr>
        <w:t xml:space="preserve"> Алгоритм лечения детей с нестабильностью надколенника</w:t>
      </w:r>
    </w:p>
    <w:p w:rsidR="000B2423" w:rsidRDefault="00F85868" w:rsidP="00B97EB2">
      <w:pPr>
        <w:spacing w:line="360" w:lineRule="auto"/>
        <w:ind w:firstLine="708"/>
        <w:jc w:val="both"/>
        <w:rPr>
          <w:bCs/>
          <w:sz w:val="24"/>
        </w:rPr>
      </w:pPr>
      <w:r w:rsidRPr="00B67551">
        <w:rPr>
          <w:bCs/>
          <w:sz w:val="24"/>
        </w:rPr>
        <w:t>Пациенты, которым мы провели стабилизацию надколенника</w:t>
      </w:r>
      <w:r w:rsidR="000B2423">
        <w:rPr>
          <w:bCs/>
          <w:sz w:val="24"/>
        </w:rPr>
        <w:t>,</w:t>
      </w:r>
      <w:r w:rsidRPr="00B67551">
        <w:rPr>
          <w:bCs/>
          <w:sz w:val="24"/>
        </w:rPr>
        <w:t xml:space="preserve"> в течение полугода вернулись в спорт, к нагрузкам, предшествующим оперативному лечению. </w:t>
      </w:r>
    </w:p>
    <w:p w:rsidR="000B2423" w:rsidRDefault="00F85868" w:rsidP="00B97EB2">
      <w:pPr>
        <w:spacing w:line="360" w:lineRule="auto"/>
        <w:ind w:firstLine="708"/>
        <w:jc w:val="both"/>
        <w:rPr>
          <w:bCs/>
          <w:sz w:val="24"/>
        </w:rPr>
      </w:pPr>
      <w:r w:rsidRPr="00B67551">
        <w:rPr>
          <w:bCs/>
          <w:sz w:val="24"/>
        </w:rPr>
        <w:t xml:space="preserve">По данным шкал оценки у пролеченных пациентов наступило улучшение состояние, отсутствие рецидива вывиха и снижение или полное отсутствие болевого синдрома. </w:t>
      </w:r>
    </w:p>
    <w:p w:rsidR="00B67551" w:rsidRPr="00B67551" w:rsidRDefault="00B67551" w:rsidP="00B97EB2">
      <w:pPr>
        <w:spacing w:line="360" w:lineRule="auto"/>
        <w:ind w:firstLine="708"/>
        <w:jc w:val="both"/>
        <w:rPr>
          <w:bCs/>
          <w:sz w:val="24"/>
        </w:rPr>
      </w:pPr>
      <w:r w:rsidRPr="00B67551">
        <w:rPr>
          <w:bCs/>
          <w:sz w:val="24"/>
        </w:rPr>
        <w:t xml:space="preserve">Таким образом, каждое оперативное вмешательство должно выполняться строго по показаниям. При индивидуальном подходе к каждому пациенту, следовании алгоритму результаты лечения пациентов в большинстве случаев были </w:t>
      </w:r>
      <w:bookmarkStart w:id="0" w:name="_GoBack"/>
      <w:bookmarkEnd w:id="0"/>
      <w:r w:rsidRPr="00B67551">
        <w:rPr>
          <w:bCs/>
          <w:sz w:val="24"/>
        </w:rPr>
        <w:t xml:space="preserve">хорошими и отличными. </w:t>
      </w:r>
    </w:p>
    <w:p w:rsidR="00B67551" w:rsidRPr="00B67551" w:rsidRDefault="00B67551" w:rsidP="00B97EB2">
      <w:pPr>
        <w:spacing w:line="360" w:lineRule="auto"/>
        <w:jc w:val="both"/>
        <w:rPr>
          <w:bCs/>
          <w:sz w:val="24"/>
        </w:rPr>
      </w:pPr>
    </w:p>
    <w:p w:rsidR="00B67551" w:rsidRDefault="00B67551" w:rsidP="00B97EB2">
      <w:pPr>
        <w:spacing w:line="360" w:lineRule="auto"/>
        <w:jc w:val="both"/>
        <w:rPr>
          <w:b/>
          <w:bCs/>
          <w:sz w:val="24"/>
        </w:rPr>
      </w:pPr>
      <w:r>
        <w:rPr>
          <w:b/>
          <w:bCs/>
          <w:sz w:val="24"/>
        </w:rPr>
        <w:t>Ключевые слова</w:t>
      </w:r>
    </w:p>
    <w:p w:rsidR="00B67551" w:rsidRDefault="00777181" w:rsidP="00B97EB2">
      <w:pPr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>Рецидивирующая н</w:t>
      </w:r>
      <w:r w:rsidR="00B67551">
        <w:rPr>
          <w:bCs/>
          <w:sz w:val="24"/>
        </w:rPr>
        <w:t>естабильность надколенника у детей, артроскопическая стабилизация надколенника, транспозиция бугристости большеберцовой кости.</w:t>
      </w:r>
    </w:p>
    <w:p w:rsidR="00B67551" w:rsidRDefault="00B67551">
      <w:pPr>
        <w:rPr>
          <w:bCs/>
          <w:sz w:val="24"/>
        </w:rPr>
      </w:pPr>
      <w:r>
        <w:rPr>
          <w:bCs/>
          <w:sz w:val="24"/>
        </w:rPr>
        <w:br w:type="page"/>
      </w:r>
    </w:p>
    <w:p w:rsidR="00B67551" w:rsidRPr="00D12FA2" w:rsidRDefault="00B67551" w:rsidP="00B67551">
      <w:pPr>
        <w:spacing w:line="360" w:lineRule="auto"/>
        <w:jc w:val="center"/>
        <w:rPr>
          <w:b/>
          <w:bCs/>
          <w:sz w:val="24"/>
        </w:rPr>
      </w:pPr>
      <w:r w:rsidRPr="00D12FA2">
        <w:rPr>
          <w:b/>
          <w:bCs/>
          <w:sz w:val="24"/>
        </w:rPr>
        <w:lastRenderedPageBreak/>
        <w:t>Список литературы</w:t>
      </w:r>
    </w:p>
    <w:p w:rsidR="00B67551" w:rsidRPr="00D12FA2" w:rsidRDefault="00B40E48" w:rsidP="00B67551">
      <w:pPr>
        <w:pStyle w:val="a3"/>
        <w:numPr>
          <w:ilvl w:val="0"/>
          <w:numId w:val="49"/>
        </w:numPr>
        <w:spacing w:line="360" w:lineRule="auto"/>
        <w:rPr>
          <w:b/>
          <w:bCs/>
          <w:sz w:val="24"/>
          <w:lang w:val="en-US"/>
        </w:rPr>
      </w:pPr>
      <w:r w:rsidRPr="00D12FA2">
        <w:rPr>
          <w:color w:val="auto"/>
          <w:sz w:val="24"/>
          <w:lang w:val="en-US"/>
        </w:rPr>
        <w:t xml:space="preserve">Lindberg U (1986) </w:t>
      </w:r>
      <w:proofErr w:type="gramStart"/>
      <w:r w:rsidRPr="00D12FA2">
        <w:rPr>
          <w:color w:val="auto"/>
          <w:sz w:val="24"/>
          <w:lang w:val="en-US"/>
        </w:rPr>
        <w:t>The</w:t>
      </w:r>
      <w:proofErr w:type="gramEnd"/>
      <w:r w:rsidRPr="00D12FA2">
        <w:rPr>
          <w:color w:val="auto"/>
          <w:sz w:val="24"/>
          <w:lang w:val="en-US"/>
        </w:rPr>
        <w:t xml:space="preserve"> patellofemoral pain syndrome. Thesis, Linkoping University, Linkoping, Sweden.</w:t>
      </w:r>
    </w:p>
    <w:p w:rsidR="00B40E48" w:rsidRPr="00D12FA2" w:rsidRDefault="00B40E48" w:rsidP="00B67551">
      <w:pPr>
        <w:pStyle w:val="a3"/>
        <w:numPr>
          <w:ilvl w:val="0"/>
          <w:numId w:val="49"/>
        </w:numPr>
        <w:spacing w:line="360" w:lineRule="auto"/>
        <w:rPr>
          <w:b/>
          <w:bCs/>
          <w:sz w:val="24"/>
          <w:lang w:val="en-US"/>
        </w:rPr>
      </w:pPr>
      <w:r w:rsidRPr="00D12FA2">
        <w:rPr>
          <w:sz w:val="24"/>
          <w:lang w:val="en-US"/>
        </w:rPr>
        <w:t>(</w:t>
      </w:r>
      <w:proofErr w:type="spellStart"/>
      <w:r w:rsidRPr="00D12FA2">
        <w:rPr>
          <w:sz w:val="24"/>
          <w:lang w:val="en-US"/>
        </w:rPr>
        <w:t>Lewallen</w:t>
      </w:r>
      <w:proofErr w:type="spellEnd"/>
      <w:r w:rsidRPr="00D12FA2">
        <w:rPr>
          <w:sz w:val="24"/>
          <w:lang w:val="en-US"/>
        </w:rPr>
        <w:t xml:space="preserve">, L.W.; McIntosh, A.L.; </w:t>
      </w:r>
      <w:proofErr w:type="spellStart"/>
      <w:r w:rsidRPr="00D12FA2">
        <w:rPr>
          <w:sz w:val="24"/>
          <w:lang w:val="en-US"/>
        </w:rPr>
        <w:t>Dahm</w:t>
      </w:r>
      <w:proofErr w:type="spellEnd"/>
      <w:r w:rsidRPr="00D12FA2">
        <w:rPr>
          <w:sz w:val="24"/>
          <w:lang w:val="en-US"/>
        </w:rPr>
        <w:t>, D.L. Predictors of recurrent instability after acute patellofemoral dislocation in pediatric and adolescent patients. Am. J. Sports Med. 2013, 41, 575–581</w:t>
      </w:r>
      <w:r w:rsidRPr="00D12FA2">
        <w:rPr>
          <w:sz w:val="24"/>
        </w:rPr>
        <w:t>.</w:t>
      </w:r>
    </w:p>
    <w:p w:rsidR="00B40E48" w:rsidRPr="00D12FA2" w:rsidRDefault="00B40E48" w:rsidP="00B67551">
      <w:pPr>
        <w:pStyle w:val="a3"/>
        <w:numPr>
          <w:ilvl w:val="0"/>
          <w:numId w:val="49"/>
        </w:numPr>
        <w:spacing w:line="360" w:lineRule="auto"/>
        <w:rPr>
          <w:b/>
          <w:bCs/>
          <w:sz w:val="24"/>
          <w:lang w:val="en-US"/>
        </w:rPr>
      </w:pPr>
      <w:proofErr w:type="spellStart"/>
      <w:r w:rsidRPr="00D12FA2">
        <w:rPr>
          <w:sz w:val="24"/>
          <w:lang w:val="en-US"/>
        </w:rPr>
        <w:t>Camanho</w:t>
      </w:r>
      <w:proofErr w:type="spellEnd"/>
      <w:r w:rsidRPr="00D12FA2">
        <w:rPr>
          <w:sz w:val="24"/>
          <w:lang w:val="en-US"/>
        </w:rPr>
        <w:t xml:space="preserve">, G.L.; </w:t>
      </w:r>
      <w:proofErr w:type="spellStart"/>
      <w:r w:rsidRPr="00D12FA2">
        <w:rPr>
          <w:sz w:val="24"/>
          <w:lang w:val="en-US"/>
        </w:rPr>
        <w:t>Viegas</w:t>
      </w:r>
      <w:proofErr w:type="spellEnd"/>
      <w:r w:rsidRPr="00D12FA2">
        <w:rPr>
          <w:sz w:val="24"/>
          <w:lang w:val="en-US"/>
        </w:rPr>
        <w:t xml:space="preserve"> Ade, C.; </w:t>
      </w:r>
      <w:proofErr w:type="spellStart"/>
      <w:r w:rsidRPr="00D12FA2">
        <w:rPr>
          <w:sz w:val="24"/>
          <w:lang w:val="en-US"/>
        </w:rPr>
        <w:t>Bitar</w:t>
      </w:r>
      <w:proofErr w:type="spellEnd"/>
      <w:r w:rsidRPr="00D12FA2">
        <w:rPr>
          <w:sz w:val="24"/>
          <w:lang w:val="en-US"/>
        </w:rPr>
        <w:t xml:space="preserve">, A.C.; </w:t>
      </w:r>
      <w:proofErr w:type="spellStart"/>
      <w:r w:rsidRPr="00D12FA2">
        <w:rPr>
          <w:sz w:val="24"/>
          <w:lang w:val="en-US"/>
        </w:rPr>
        <w:t>Demange</w:t>
      </w:r>
      <w:proofErr w:type="spellEnd"/>
      <w:r w:rsidRPr="00D12FA2">
        <w:rPr>
          <w:sz w:val="24"/>
          <w:lang w:val="en-US"/>
        </w:rPr>
        <w:t>, M.K.; Hernandez, A.J. Conservative versus surgical treatment for repair of the medial patellofemoral ligament in acute dislocations of the patella</w:t>
      </w:r>
      <w:r w:rsidR="005B3360">
        <w:rPr>
          <w:sz w:val="24"/>
          <w:lang w:val="en-US"/>
        </w:rPr>
        <w:t>; Arthroscopy 2009, 25, 620–625</w:t>
      </w:r>
      <w:r w:rsidRPr="00D12FA2">
        <w:rPr>
          <w:sz w:val="24"/>
          <w:lang w:val="en-US"/>
        </w:rPr>
        <w:t>.</w:t>
      </w:r>
    </w:p>
    <w:p w:rsidR="00B40E48" w:rsidRPr="00D12FA2" w:rsidRDefault="00B40E48" w:rsidP="00B67551">
      <w:pPr>
        <w:pStyle w:val="a3"/>
        <w:numPr>
          <w:ilvl w:val="0"/>
          <w:numId w:val="49"/>
        </w:numPr>
        <w:spacing w:line="360" w:lineRule="auto"/>
        <w:rPr>
          <w:b/>
          <w:bCs/>
          <w:sz w:val="24"/>
          <w:lang w:val="en-US"/>
        </w:rPr>
      </w:pPr>
      <w:proofErr w:type="spellStart"/>
      <w:r w:rsidRPr="00D12FA2">
        <w:rPr>
          <w:sz w:val="24"/>
          <w:lang w:val="en-US"/>
        </w:rPr>
        <w:t>Koeter</w:t>
      </w:r>
      <w:proofErr w:type="spellEnd"/>
      <w:r w:rsidRPr="00D12FA2">
        <w:rPr>
          <w:sz w:val="24"/>
          <w:lang w:val="en-US"/>
        </w:rPr>
        <w:t xml:space="preserve">, S.; </w:t>
      </w:r>
      <w:proofErr w:type="spellStart"/>
      <w:r w:rsidRPr="00D12FA2">
        <w:rPr>
          <w:sz w:val="24"/>
          <w:lang w:val="en-US"/>
        </w:rPr>
        <w:t>Diks</w:t>
      </w:r>
      <w:proofErr w:type="spellEnd"/>
      <w:r w:rsidRPr="00D12FA2">
        <w:rPr>
          <w:sz w:val="24"/>
          <w:lang w:val="en-US"/>
        </w:rPr>
        <w:t xml:space="preserve">, M.J.; Anderson, P.G.; </w:t>
      </w:r>
      <w:proofErr w:type="spellStart"/>
      <w:r w:rsidRPr="00D12FA2">
        <w:rPr>
          <w:sz w:val="24"/>
          <w:lang w:val="en-US"/>
        </w:rPr>
        <w:t>Wymenga</w:t>
      </w:r>
      <w:proofErr w:type="spellEnd"/>
      <w:r w:rsidRPr="00D12FA2">
        <w:rPr>
          <w:sz w:val="24"/>
          <w:lang w:val="en-US"/>
        </w:rPr>
        <w:t xml:space="preserve">, A.B. A modified </w:t>
      </w:r>
      <w:proofErr w:type="spellStart"/>
      <w:r w:rsidRPr="00D12FA2">
        <w:rPr>
          <w:sz w:val="24"/>
          <w:lang w:val="en-US"/>
        </w:rPr>
        <w:t>tibial</w:t>
      </w:r>
      <w:proofErr w:type="spellEnd"/>
      <w:r w:rsidRPr="00D12FA2">
        <w:rPr>
          <w:sz w:val="24"/>
          <w:lang w:val="en-US"/>
        </w:rPr>
        <w:t xml:space="preserve"> tubercle osteotomy for patellar </w:t>
      </w:r>
      <w:proofErr w:type="spellStart"/>
      <w:r w:rsidRPr="00D12FA2">
        <w:rPr>
          <w:sz w:val="24"/>
          <w:lang w:val="en-US"/>
        </w:rPr>
        <w:t>maltracking</w:t>
      </w:r>
      <w:proofErr w:type="spellEnd"/>
      <w:r w:rsidRPr="00D12FA2">
        <w:rPr>
          <w:sz w:val="24"/>
          <w:lang w:val="en-US"/>
        </w:rPr>
        <w:t>: Results at two years. J. Bone Jt. Surg. Br. 2007, 89, 180–185</w:t>
      </w:r>
      <w:r w:rsidRPr="00D12FA2">
        <w:rPr>
          <w:sz w:val="24"/>
        </w:rPr>
        <w:t>.</w:t>
      </w:r>
    </w:p>
    <w:p w:rsidR="00B40E48" w:rsidRPr="00D12FA2" w:rsidRDefault="00B40E48" w:rsidP="00B67551">
      <w:pPr>
        <w:pStyle w:val="a3"/>
        <w:numPr>
          <w:ilvl w:val="0"/>
          <w:numId w:val="49"/>
        </w:numPr>
        <w:spacing w:line="360" w:lineRule="auto"/>
        <w:rPr>
          <w:b/>
          <w:bCs/>
          <w:sz w:val="24"/>
          <w:lang w:val="en-US"/>
        </w:rPr>
      </w:pPr>
      <w:r w:rsidRPr="00D12FA2">
        <w:rPr>
          <w:sz w:val="24"/>
          <w:lang w:val="en-US"/>
        </w:rPr>
        <w:t xml:space="preserve">Smith, T.O.; Song, F.; </w:t>
      </w:r>
      <w:proofErr w:type="spellStart"/>
      <w:r w:rsidRPr="00D12FA2">
        <w:rPr>
          <w:sz w:val="24"/>
          <w:lang w:val="en-US"/>
        </w:rPr>
        <w:t>Donell</w:t>
      </w:r>
      <w:proofErr w:type="spellEnd"/>
      <w:r w:rsidRPr="00D12FA2">
        <w:rPr>
          <w:sz w:val="24"/>
          <w:lang w:val="en-US"/>
        </w:rPr>
        <w:t xml:space="preserve">, S.T.; </w:t>
      </w:r>
      <w:proofErr w:type="spellStart"/>
      <w:r w:rsidRPr="00D12FA2">
        <w:rPr>
          <w:sz w:val="24"/>
          <w:lang w:val="en-US"/>
        </w:rPr>
        <w:t>Hing</w:t>
      </w:r>
      <w:proofErr w:type="spellEnd"/>
      <w:r w:rsidRPr="00D12FA2">
        <w:rPr>
          <w:sz w:val="24"/>
          <w:lang w:val="en-US"/>
        </w:rPr>
        <w:t xml:space="preserve">, C.B. Operative versus non-operative management of patellar dislocation. </w:t>
      </w:r>
      <w:r w:rsidRPr="00D12FA2">
        <w:rPr>
          <w:sz w:val="24"/>
        </w:rPr>
        <w:t xml:space="preserve">A </w:t>
      </w:r>
      <w:proofErr w:type="spellStart"/>
      <w:r w:rsidRPr="00D12FA2">
        <w:rPr>
          <w:sz w:val="24"/>
        </w:rPr>
        <w:t>meta-analysis</w:t>
      </w:r>
      <w:proofErr w:type="spellEnd"/>
      <w:r w:rsidRPr="00D12FA2">
        <w:rPr>
          <w:sz w:val="24"/>
        </w:rPr>
        <w:t xml:space="preserve">. </w:t>
      </w:r>
      <w:proofErr w:type="spellStart"/>
      <w:r w:rsidRPr="00D12FA2">
        <w:rPr>
          <w:sz w:val="24"/>
        </w:rPr>
        <w:t>Knee</w:t>
      </w:r>
      <w:proofErr w:type="spellEnd"/>
      <w:r w:rsidRPr="00D12FA2">
        <w:rPr>
          <w:sz w:val="24"/>
        </w:rPr>
        <w:t xml:space="preserve"> </w:t>
      </w:r>
      <w:proofErr w:type="spellStart"/>
      <w:r w:rsidRPr="00D12FA2">
        <w:rPr>
          <w:sz w:val="24"/>
        </w:rPr>
        <w:t>Surg</w:t>
      </w:r>
      <w:proofErr w:type="spellEnd"/>
      <w:r w:rsidRPr="00D12FA2">
        <w:rPr>
          <w:sz w:val="24"/>
        </w:rPr>
        <w:t xml:space="preserve">. </w:t>
      </w:r>
      <w:proofErr w:type="spellStart"/>
      <w:r w:rsidRPr="00D12FA2">
        <w:rPr>
          <w:sz w:val="24"/>
        </w:rPr>
        <w:t>Sports</w:t>
      </w:r>
      <w:proofErr w:type="spellEnd"/>
      <w:r w:rsidRPr="00D12FA2">
        <w:rPr>
          <w:sz w:val="24"/>
        </w:rPr>
        <w:t xml:space="preserve"> </w:t>
      </w:r>
      <w:proofErr w:type="spellStart"/>
      <w:r w:rsidRPr="00D12FA2">
        <w:rPr>
          <w:sz w:val="24"/>
        </w:rPr>
        <w:t>Traumatol</w:t>
      </w:r>
      <w:proofErr w:type="spellEnd"/>
      <w:r w:rsidRPr="00D12FA2">
        <w:rPr>
          <w:sz w:val="24"/>
        </w:rPr>
        <w:t xml:space="preserve">. </w:t>
      </w:r>
      <w:proofErr w:type="spellStart"/>
      <w:r w:rsidRPr="00D12FA2">
        <w:rPr>
          <w:sz w:val="24"/>
        </w:rPr>
        <w:t>Arthrosc</w:t>
      </w:r>
      <w:proofErr w:type="spellEnd"/>
      <w:r w:rsidRPr="00D12FA2">
        <w:rPr>
          <w:sz w:val="24"/>
        </w:rPr>
        <w:t>. 2011, 19, 988–998.</w:t>
      </w:r>
    </w:p>
    <w:p w:rsidR="00D12FA2" w:rsidRPr="005B3360" w:rsidRDefault="00D12FA2" w:rsidP="00B67551">
      <w:pPr>
        <w:pStyle w:val="a3"/>
        <w:numPr>
          <w:ilvl w:val="0"/>
          <w:numId w:val="49"/>
        </w:numPr>
        <w:spacing w:line="360" w:lineRule="auto"/>
        <w:rPr>
          <w:b/>
          <w:bCs/>
          <w:sz w:val="24"/>
          <w:lang w:val="en-US"/>
        </w:rPr>
      </w:pPr>
      <w:r w:rsidRPr="00D12FA2">
        <w:rPr>
          <w:sz w:val="24"/>
        </w:rPr>
        <w:t>(</w:t>
      </w:r>
      <w:proofErr w:type="spellStart"/>
      <w:r w:rsidRPr="00D12FA2">
        <w:rPr>
          <w:sz w:val="24"/>
          <w:shd w:val="clear" w:color="auto" w:fill="FFFFFF"/>
        </w:rPr>
        <w:t>Гарбуния</w:t>
      </w:r>
      <w:proofErr w:type="spellEnd"/>
      <w:r w:rsidRPr="00D12FA2">
        <w:rPr>
          <w:sz w:val="24"/>
          <w:shd w:val="clear" w:color="auto" w:fill="FFFFFF"/>
        </w:rPr>
        <w:t xml:space="preserve"> Р.И., Миронова З.С., Миронов С.П. и др. Компьютерная томография в норме и привычном вывихе надколенника // Ортопедия, травматология и протезирование. 1986. - № 2).</w:t>
      </w:r>
    </w:p>
    <w:p w:rsidR="005B3360" w:rsidRPr="005B3360" w:rsidRDefault="005B3360" w:rsidP="005B3360">
      <w:pPr>
        <w:pStyle w:val="a3"/>
        <w:numPr>
          <w:ilvl w:val="0"/>
          <w:numId w:val="49"/>
        </w:numPr>
        <w:spacing w:line="360" w:lineRule="auto"/>
        <w:rPr>
          <w:bCs/>
          <w:sz w:val="24"/>
          <w:lang w:val="en-US"/>
        </w:rPr>
      </w:pPr>
      <w:proofErr w:type="spellStart"/>
      <w:r w:rsidRPr="005B3360">
        <w:rPr>
          <w:bCs/>
          <w:sz w:val="24"/>
          <w:lang w:val="en-US"/>
        </w:rPr>
        <w:t>Goutallier</w:t>
      </w:r>
      <w:proofErr w:type="spellEnd"/>
      <w:r w:rsidRPr="005B3360">
        <w:rPr>
          <w:bCs/>
          <w:sz w:val="24"/>
          <w:lang w:val="en-US"/>
        </w:rPr>
        <w:t xml:space="preserve"> D, </w:t>
      </w:r>
      <w:proofErr w:type="spellStart"/>
      <w:r w:rsidRPr="005B3360">
        <w:rPr>
          <w:bCs/>
          <w:sz w:val="24"/>
          <w:lang w:val="en-US"/>
        </w:rPr>
        <w:t>Bernageau</w:t>
      </w:r>
      <w:proofErr w:type="spellEnd"/>
      <w:r w:rsidRPr="005B3360">
        <w:rPr>
          <w:bCs/>
          <w:sz w:val="24"/>
          <w:lang w:val="en-US"/>
        </w:rPr>
        <w:t xml:space="preserve"> J, </w:t>
      </w:r>
      <w:proofErr w:type="spellStart"/>
      <w:r w:rsidRPr="005B3360">
        <w:rPr>
          <w:bCs/>
          <w:sz w:val="24"/>
          <w:lang w:val="en-US"/>
        </w:rPr>
        <w:t>Lecudonnec</w:t>
      </w:r>
      <w:proofErr w:type="spellEnd"/>
      <w:r w:rsidRPr="005B3360">
        <w:rPr>
          <w:bCs/>
          <w:sz w:val="24"/>
          <w:lang w:val="en-US"/>
        </w:rPr>
        <w:t xml:space="preserve"> B (1978) </w:t>
      </w:r>
      <w:proofErr w:type="gramStart"/>
      <w:r w:rsidRPr="005B3360">
        <w:rPr>
          <w:bCs/>
          <w:sz w:val="24"/>
          <w:lang w:val="en-US"/>
        </w:rPr>
        <w:t>The</w:t>
      </w:r>
      <w:proofErr w:type="gramEnd"/>
      <w:r w:rsidRPr="005B3360">
        <w:rPr>
          <w:bCs/>
          <w:sz w:val="24"/>
          <w:lang w:val="en-US"/>
        </w:rPr>
        <w:t xml:space="preserve"> mea</w:t>
      </w:r>
      <w:r>
        <w:rPr>
          <w:bCs/>
          <w:sz w:val="24"/>
          <w:lang w:val="en-US"/>
        </w:rPr>
        <w:t xml:space="preserve">surement of the </w:t>
      </w:r>
      <w:proofErr w:type="spellStart"/>
      <w:r>
        <w:rPr>
          <w:bCs/>
          <w:sz w:val="24"/>
          <w:lang w:val="en-US"/>
        </w:rPr>
        <w:t>tibial</w:t>
      </w:r>
      <w:proofErr w:type="spellEnd"/>
      <w:r>
        <w:rPr>
          <w:bCs/>
          <w:sz w:val="24"/>
          <w:lang w:val="en-US"/>
        </w:rPr>
        <w:t xml:space="preserve"> tuberosity. Patella groove</w:t>
      </w:r>
      <w:r w:rsidRPr="005B3360">
        <w:rPr>
          <w:bCs/>
          <w:sz w:val="24"/>
          <w:lang w:val="en-US"/>
        </w:rPr>
        <w:t xml:space="preserve"> distanced </w:t>
      </w:r>
      <w:r>
        <w:rPr>
          <w:bCs/>
          <w:sz w:val="24"/>
          <w:lang w:val="en-US"/>
        </w:rPr>
        <w:t xml:space="preserve">technique </w:t>
      </w:r>
      <w:r w:rsidRPr="005B3360">
        <w:rPr>
          <w:bCs/>
          <w:sz w:val="24"/>
          <w:lang w:val="en-US"/>
        </w:rPr>
        <w:t xml:space="preserve">and results </w:t>
      </w:r>
      <w:r>
        <w:rPr>
          <w:bCs/>
          <w:sz w:val="24"/>
          <w:lang w:val="en-US"/>
        </w:rPr>
        <w:t xml:space="preserve">(author’s </w:t>
      </w:r>
      <w:proofErr w:type="gramStart"/>
      <w:r w:rsidRPr="005B3360">
        <w:rPr>
          <w:bCs/>
          <w:sz w:val="24"/>
          <w:lang w:val="en-US"/>
        </w:rPr>
        <w:t>trans</w:t>
      </w:r>
      <w:proofErr w:type="gramEnd"/>
      <w:r w:rsidRPr="005B3360">
        <w:rPr>
          <w:bCs/>
          <w:sz w:val="24"/>
          <w:lang w:val="en-US"/>
        </w:rPr>
        <w:t xml:space="preserve">). Rev </w:t>
      </w:r>
      <w:proofErr w:type="spellStart"/>
      <w:r>
        <w:rPr>
          <w:bCs/>
          <w:sz w:val="24"/>
          <w:lang w:val="en-US"/>
        </w:rPr>
        <w:t>Chir</w:t>
      </w:r>
      <w:proofErr w:type="spellEnd"/>
      <w:r>
        <w:rPr>
          <w:bCs/>
          <w:sz w:val="24"/>
          <w:lang w:val="en-US"/>
        </w:rPr>
        <w:t xml:space="preserve"> </w:t>
      </w:r>
      <w:proofErr w:type="spellStart"/>
      <w:r w:rsidRPr="005B3360">
        <w:rPr>
          <w:bCs/>
          <w:sz w:val="24"/>
          <w:lang w:val="en-US"/>
        </w:rPr>
        <w:t>Orthop</w:t>
      </w:r>
      <w:proofErr w:type="spellEnd"/>
      <w:r w:rsidRPr="005B3360">
        <w:rPr>
          <w:bCs/>
          <w:sz w:val="24"/>
          <w:lang w:val="en-US"/>
        </w:rPr>
        <w:t xml:space="preserve"> </w:t>
      </w:r>
      <w:proofErr w:type="spellStart"/>
      <w:r w:rsidRPr="005B3360">
        <w:rPr>
          <w:bCs/>
          <w:sz w:val="24"/>
          <w:lang w:val="en-US"/>
        </w:rPr>
        <w:t>Reparatrice</w:t>
      </w:r>
      <w:proofErr w:type="spellEnd"/>
      <w:r w:rsidRPr="005B3360">
        <w:rPr>
          <w:bCs/>
          <w:sz w:val="24"/>
          <w:lang w:val="en-US"/>
        </w:rPr>
        <w:t xml:space="preserve"> </w:t>
      </w:r>
      <w:proofErr w:type="spellStart"/>
      <w:r w:rsidRPr="005B3360">
        <w:rPr>
          <w:bCs/>
          <w:sz w:val="24"/>
          <w:lang w:val="en-US"/>
        </w:rPr>
        <w:t>Appar</w:t>
      </w:r>
      <w:proofErr w:type="spellEnd"/>
      <w:r w:rsidRPr="005B3360">
        <w:rPr>
          <w:bCs/>
          <w:sz w:val="24"/>
          <w:lang w:val="en-US"/>
        </w:rPr>
        <w:t xml:space="preserve"> Mot 64(5):423–428</w:t>
      </w:r>
    </w:p>
    <w:p w:rsidR="00D12FA2" w:rsidRPr="00D12FA2" w:rsidRDefault="00D12FA2" w:rsidP="00D12FA2">
      <w:pPr>
        <w:pStyle w:val="a3"/>
        <w:spacing w:line="360" w:lineRule="auto"/>
        <w:rPr>
          <w:b/>
          <w:bCs/>
          <w:sz w:val="24"/>
          <w:lang w:val="en-US"/>
        </w:rPr>
      </w:pPr>
    </w:p>
    <w:p w:rsidR="00FE1D14" w:rsidRPr="005B3360" w:rsidRDefault="00FE1D14" w:rsidP="008E3C62">
      <w:pPr>
        <w:spacing w:line="360" w:lineRule="auto"/>
        <w:rPr>
          <w:bCs/>
          <w:sz w:val="24"/>
          <w:lang w:val="en-US"/>
        </w:rPr>
      </w:pPr>
    </w:p>
    <w:sectPr w:rsidR="00FE1D14" w:rsidRPr="005B3360" w:rsidSect="00644866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D24" w:rsidRDefault="00633D24" w:rsidP="00633D24">
      <w:r>
        <w:separator/>
      </w:r>
    </w:p>
  </w:endnote>
  <w:endnote w:type="continuationSeparator" w:id="0">
    <w:p w:rsidR="00633D24" w:rsidRDefault="00633D24" w:rsidP="0063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2739178"/>
      <w:docPartObj>
        <w:docPartGallery w:val="Page Numbers (Bottom of Page)"/>
        <w:docPartUnique/>
      </w:docPartObj>
    </w:sdtPr>
    <w:sdtEndPr/>
    <w:sdtContent>
      <w:p w:rsidR="00633D24" w:rsidRDefault="00633D2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EB2">
          <w:rPr>
            <w:noProof/>
          </w:rPr>
          <w:t>3</w:t>
        </w:r>
        <w:r>
          <w:fldChar w:fldCharType="end"/>
        </w:r>
      </w:p>
    </w:sdtContent>
  </w:sdt>
  <w:p w:rsidR="00633D24" w:rsidRDefault="00633D2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D24" w:rsidRDefault="00633D24" w:rsidP="00633D24">
      <w:r>
        <w:separator/>
      </w:r>
    </w:p>
  </w:footnote>
  <w:footnote w:type="continuationSeparator" w:id="0">
    <w:p w:rsidR="00633D24" w:rsidRDefault="00633D24" w:rsidP="00633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7E73"/>
    <w:multiLevelType w:val="hybridMultilevel"/>
    <w:tmpl w:val="CBD2D5F8"/>
    <w:lvl w:ilvl="0" w:tplc="5D1EB6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3C72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C293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C2C4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3AE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90BF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3ED8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B4D1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36DF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2EB156A"/>
    <w:multiLevelType w:val="hybridMultilevel"/>
    <w:tmpl w:val="84F094D0"/>
    <w:lvl w:ilvl="0" w:tplc="915E47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08E8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EA82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0CA6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7EE5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3E1B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E48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3A05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3C51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2F118AB"/>
    <w:multiLevelType w:val="hybridMultilevel"/>
    <w:tmpl w:val="3D36905E"/>
    <w:lvl w:ilvl="0" w:tplc="E1F641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569F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E820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1A96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0074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C815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F2F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E01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EE87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B81146F"/>
    <w:multiLevelType w:val="hybridMultilevel"/>
    <w:tmpl w:val="3AB6E7E4"/>
    <w:lvl w:ilvl="0" w:tplc="923695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0883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5A8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0696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4043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D208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A460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7491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B4A7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C886FB7"/>
    <w:multiLevelType w:val="hybridMultilevel"/>
    <w:tmpl w:val="4364DCA8"/>
    <w:lvl w:ilvl="0" w:tplc="BD0E4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3E98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C486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96A8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C86E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06E2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7C0A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7E65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38DA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B03939"/>
    <w:multiLevelType w:val="hybridMultilevel"/>
    <w:tmpl w:val="E59C49F8"/>
    <w:lvl w:ilvl="0" w:tplc="04190017">
      <w:start w:val="1"/>
      <w:numFmt w:val="lowerLetter"/>
      <w:lvlText w:val="%1)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6">
    <w:nsid w:val="0DBC0C89"/>
    <w:multiLevelType w:val="hybridMultilevel"/>
    <w:tmpl w:val="2B7C8EA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">
    <w:nsid w:val="12E81113"/>
    <w:multiLevelType w:val="hybridMultilevel"/>
    <w:tmpl w:val="6D2A5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C962B0"/>
    <w:multiLevelType w:val="hybridMultilevel"/>
    <w:tmpl w:val="F59CFC7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58637F"/>
    <w:multiLevelType w:val="hybridMultilevel"/>
    <w:tmpl w:val="D55849C8"/>
    <w:lvl w:ilvl="0" w:tplc="CF0A485C">
      <w:start w:val="1"/>
      <w:numFmt w:val="lowerLetter"/>
      <w:lvlText w:val="%1)"/>
      <w:lvlJc w:val="left"/>
      <w:pPr>
        <w:ind w:left="144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68C34F5"/>
    <w:multiLevelType w:val="hybridMultilevel"/>
    <w:tmpl w:val="AC4C7F14"/>
    <w:lvl w:ilvl="0" w:tplc="8F38C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6083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4425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C45A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38A9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4888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FCE9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669B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2C39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756E4B"/>
    <w:multiLevelType w:val="hybridMultilevel"/>
    <w:tmpl w:val="007A894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A54854"/>
    <w:multiLevelType w:val="hybridMultilevel"/>
    <w:tmpl w:val="660077C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5724967"/>
    <w:multiLevelType w:val="hybridMultilevel"/>
    <w:tmpl w:val="729EB93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8FF79B8"/>
    <w:multiLevelType w:val="hybridMultilevel"/>
    <w:tmpl w:val="B7DCECE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5">
    <w:nsid w:val="29723B0C"/>
    <w:multiLevelType w:val="hybridMultilevel"/>
    <w:tmpl w:val="D55849C8"/>
    <w:lvl w:ilvl="0" w:tplc="CF0A485C">
      <w:start w:val="1"/>
      <w:numFmt w:val="lowerLetter"/>
      <w:lvlText w:val="%1)"/>
      <w:lvlJc w:val="left"/>
      <w:pPr>
        <w:ind w:left="144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30F0C71"/>
    <w:multiLevelType w:val="hybridMultilevel"/>
    <w:tmpl w:val="0D7C9974"/>
    <w:lvl w:ilvl="0" w:tplc="942AA5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6EF8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E044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201F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04E7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1A54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0A07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26DA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6418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33D418B2"/>
    <w:multiLevelType w:val="hybridMultilevel"/>
    <w:tmpl w:val="D55849C8"/>
    <w:lvl w:ilvl="0" w:tplc="CF0A485C">
      <w:start w:val="1"/>
      <w:numFmt w:val="lowerLetter"/>
      <w:lvlText w:val="%1)"/>
      <w:lvlJc w:val="left"/>
      <w:pPr>
        <w:ind w:left="144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AA512E8"/>
    <w:multiLevelType w:val="hybridMultilevel"/>
    <w:tmpl w:val="8D5A38C6"/>
    <w:lvl w:ilvl="0" w:tplc="CF0A485C">
      <w:start w:val="1"/>
      <w:numFmt w:val="lowerLetter"/>
      <w:lvlText w:val="%1)"/>
      <w:lvlJc w:val="left"/>
      <w:pPr>
        <w:ind w:left="144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C5B2EE9"/>
    <w:multiLevelType w:val="hybridMultilevel"/>
    <w:tmpl w:val="95CA1312"/>
    <w:lvl w:ilvl="0" w:tplc="22044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846A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58A0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56F0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E09D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9E45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B270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0A42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72FD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2C76D7"/>
    <w:multiLevelType w:val="hybridMultilevel"/>
    <w:tmpl w:val="F892AF1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10338E"/>
    <w:multiLevelType w:val="hybridMultilevel"/>
    <w:tmpl w:val="9EB4FD0A"/>
    <w:lvl w:ilvl="0" w:tplc="04190017">
      <w:start w:val="1"/>
      <w:numFmt w:val="lowerLetter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>
    <w:nsid w:val="3E144BEF"/>
    <w:multiLevelType w:val="hybridMultilevel"/>
    <w:tmpl w:val="BE14A8D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073E3E"/>
    <w:multiLevelType w:val="hybridMultilevel"/>
    <w:tmpl w:val="312CBFBA"/>
    <w:lvl w:ilvl="0" w:tplc="B3B48C2A">
      <w:start w:val="1"/>
      <w:numFmt w:val="upperRoman"/>
      <w:lvlText w:val="%1."/>
      <w:lvlJc w:val="center"/>
      <w:pPr>
        <w:ind w:left="720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5E084A"/>
    <w:multiLevelType w:val="hybridMultilevel"/>
    <w:tmpl w:val="853E3D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A93812"/>
    <w:multiLevelType w:val="hybridMultilevel"/>
    <w:tmpl w:val="9B64F876"/>
    <w:lvl w:ilvl="0" w:tplc="6D3E58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1EC844">
      <w:start w:val="99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2AE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CA52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008A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922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D298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A888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EE8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467B1E0E"/>
    <w:multiLevelType w:val="hybridMultilevel"/>
    <w:tmpl w:val="77489892"/>
    <w:lvl w:ilvl="0" w:tplc="04190017">
      <w:start w:val="1"/>
      <w:numFmt w:val="lowerLetter"/>
      <w:lvlText w:val="%1)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7">
    <w:nsid w:val="47401F0E"/>
    <w:multiLevelType w:val="hybridMultilevel"/>
    <w:tmpl w:val="22543920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48773E5B"/>
    <w:multiLevelType w:val="hybridMultilevel"/>
    <w:tmpl w:val="DA3E3836"/>
    <w:lvl w:ilvl="0" w:tplc="B9800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428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D01C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D086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7292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16D1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4E5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04FA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903D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BB109E2"/>
    <w:multiLevelType w:val="hybridMultilevel"/>
    <w:tmpl w:val="11E6EB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13522C"/>
    <w:multiLevelType w:val="hybridMultilevel"/>
    <w:tmpl w:val="4052EF7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1B7F4B"/>
    <w:multiLevelType w:val="multilevel"/>
    <w:tmpl w:val="316C4CD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527049DA"/>
    <w:multiLevelType w:val="hybridMultilevel"/>
    <w:tmpl w:val="B9E64F0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DB08EC"/>
    <w:multiLevelType w:val="hybridMultilevel"/>
    <w:tmpl w:val="CA68A2F4"/>
    <w:lvl w:ilvl="0" w:tplc="04190017">
      <w:start w:val="1"/>
      <w:numFmt w:val="lowerLetter"/>
      <w:lvlText w:val="%1)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>
    <w:nsid w:val="574700CA"/>
    <w:multiLevelType w:val="hybridMultilevel"/>
    <w:tmpl w:val="7FAC5D16"/>
    <w:lvl w:ilvl="0" w:tplc="0EA8B904">
      <w:start w:val="1"/>
      <w:numFmt w:val="upperRoman"/>
      <w:lvlText w:val="%1.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11233C"/>
    <w:multiLevelType w:val="hybridMultilevel"/>
    <w:tmpl w:val="D35AA95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117B45"/>
    <w:multiLevelType w:val="hybridMultilevel"/>
    <w:tmpl w:val="ECE0C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2F7CC2"/>
    <w:multiLevelType w:val="hybridMultilevel"/>
    <w:tmpl w:val="EFB6B252"/>
    <w:lvl w:ilvl="0" w:tplc="22044A8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E61AFE"/>
    <w:multiLevelType w:val="hybridMultilevel"/>
    <w:tmpl w:val="2B6ACADC"/>
    <w:lvl w:ilvl="0" w:tplc="0EA8B904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89329C"/>
    <w:multiLevelType w:val="hybridMultilevel"/>
    <w:tmpl w:val="2806EC8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65037FE8"/>
    <w:multiLevelType w:val="hybridMultilevel"/>
    <w:tmpl w:val="6F520E0C"/>
    <w:lvl w:ilvl="0" w:tplc="0EA8B904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68525C"/>
    <w:multiLevelType w:val="hybridMultilevel"/>
    <w:tmpl w:val="97DEAB02"/>
    <w:lvl w:ilvl="0" w:tplc="0EA8B904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D23212"/>
    <w:multiLevelType w:val="hybridMultilevel"/>
    <w:tmpl w:val="26423F2A"/>
    <w:lvl w:ilvl="0" w:tplc="A8626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D686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1656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1EC7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68A1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6632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C43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E2BF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70AB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>
    <w:nsid w:val="6CD32186"/>
    <w:multiLevelType w:val="hybridMultilevel"/>
    <w:tmpl w:val="81B20BE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6E0D3B50"/>
    <w:multiLevelType w:val="hybridMultilevel"/>
    <w:tmpl w:val="6D2A5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6161CD"/>
    <w:multiLevelType w:val="hybridMultilevel"/>
    <w:tmpl w:val="89201DE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2127E27"/>
    <w:multiLevelType w:val="hybridMultilevel"/>
    <w:tmpl w:val="F566CFC2"/>
    <w:lvl w:ilvl="0" w:tplc="D8A0FC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CEC2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D4E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62D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80DB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F6F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98DD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7AF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FCB8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7">
    <w:nsid w:val="7D0A4B0C"/>
    <w:multiLevelType w:val="hybridMultilevel"/>
    <w:tmpl w:val="9496A79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7EC10CBE"/>
    <w:multiLevelType w:val="hybridMultilevel"/>
    <w:tmpl w:val="B8426146"/>
    <w:lvl w:ilvl="0" w:tplc="0EA8B904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6"/>
  </w:num>
  <w:num w:numId="3">
    <w:abstractNumId w:val="2"/>
  </w:num>
  <w:num w:numId="4">
    <w:abstractNumId w:val="42"/>
  </w:num>
  <w:num w:numId="5">
    <w:abstractNumId w:val="0"/>
  </w:num>
  <w:num w:numId="6">
    <w:abstractNumId w:val="19"/>
  </w:num>
  <w:num w:numId="7">
    <w:abstractNumId w:val="3"/>
  </w:num>
  <w:num w:numId="8">
    <w:abstractNumId w:val="28"/>
  </w:num>
  <w:num w:numId="9">
    <w:abstractNumId w:val="1"/>
  </w:num>
  <w:num w:numId="10">
    <w:abstractNumId w:val="10"/>
  </w:num>
  <w:num w:numId="11">
    <w:abstractNumId w:val="31"/>
  </w:num>
  <w:num w:numId="12">
    <w:abstractNumId w:val="39"/>
  </w:num>
  <w:num w:numId="13">
    <w:abstractNumId w:val="14"/>
  </w:num>
  <w:num w:numId="14">
    <w:abstractNumId w:val="6"/>
  </w:num>
  <w:num w:numId="15">
    <w:abstractNumId w:val="20"/>
  </w:num>
  <w:num w:numId="16">
    <w:abstractNumId w:val="4"/>
  </w:num>
  <w:num w:numId="17">
    <w:abstractNumId w:val="32"/>
  </w:num>
  <w:num w:numId="18">
    <w:abstractNumId w:val="30"/>
  </w:num>
  <w:num w:numId="19">
    <w:abstractNumId w:val="41"/>
  </w:num>
  <w:num w:numId="20">
    <w:abstractNumId w:val="40"/>
  </w:num>
  <w:num w:numId="21">
    <w:abstractNumId w:val="45"/>
  </w:num>
  <w:num w:numId="22">
    <w:abstractNumId w:val="33"/>
  </w:num>
  <w:num w:numId="23">
    <w:abstractNumId w:val="38"/>
  </w:num>
  <w:num w:numId="24">
    <w:abstractNumId w:val="12"/>
  </w:num>
  <w:num w:numId="25">
    <w:abstractNumId w:val="18"/>
  </w:num>
  <w:num w:numId="26">
    <w:abstractNumId w:val="8"/>
  </w:num>
  <w:num w:numId="27">
    <w:abstractNumId w:val="9"/>
  </w:num>
  <w:num w:numId="28">
    <w:abstractNumId w:val="17"/>
  </w:num>
  <w:num w:numId="29">
    <w:abstractNumId w:val="15"/>
  </w:num>
  <w:num w:numId="30">
    <w:abstractNumId w:val="26"/>
  </w:num>
  <w:num w:numId="31">
    <w:abstractNumId w:val="22"/>
  </w:num>
  <w:num w:numId="32">
    <w:abstractNumId w:val="47"/>
  </w:num>
  <w:num w:numId="33">
    <w:abstractNumId w:val="27"/>
  </w:num>
  <w:num w:numId="34">
    <w:abstractNumId w:val="11"/>
  </w:num>
  <w:num w:numId="35">
    <w:abstractNumId w:val="43"/>
  </w:num>
  <w:num w:numId="36">
    <w:abstractNumId w:val="34"/>
  </w:num>
  <w:num w:numId="37">
    <w:abstractNumId w:val="13"/>
  </w:num>
  <w:num w:numId="38">
    <w:abstractNumId w:val="29"/>
  </w:num>
  <w:num w:numId="39">
    <w:abstractNumId w:val="35"/>
  </w:num>
  <w:num w:numId="40">
    <w:abstractNumId w:val="24"/>
  </w:num>
  <w:num w:numId="41">
    <w:abstractNumId w:val="5"/>
  </w:num>
  <w:num w:numId="42">
    <w:abstractNumId w:val="21"/>
  </w:num>
  <w:num w:numId="43">
    <w:abstractNumId w:val="37"/>
  </w:num>
  <w:num w:numId="44">
    <w:abstractNumId w:val="23"/>
  </w:num>
  <w:num w:numId="45">
    <w:abstractNumId w:val="48"/>
  </w:num>
  <w:num w:numId="46">
    <w:abstractNumId w:val="16"/>
  </w:num>
  <w:num w:numId="47">
    <w:abstractNumId w:val="36"/>
  </w:num>
  <w:num w:numId="48">
    <w:abstractNumId w:val="44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A1F"/>
    <w:rsid w:val="00014544"/>
    <w:rsid w:val="00040EC7"/>
    <w:rsid w:val="00067977"/>
    <w:rsid w:val="000769FF"/>
    <w:rsid w:val="00091534"/>
    <w:rsid w:val="000B2423"/>
    <w:rsid w:val="000B3909"/>
    <w:rsid w:val="000F21D0"/>
    <w:rsid w:val="000F3F4B"/>
    <w:rsid w:val="00162AAD"/>
    <w:rsid w:val="001A0061"/>
    <w:rsid w:val="001C33DC"/>
    <w:rsid w:val="001C3B4A"/>
    <w:rsid w:val="00297F14"/>
    <w:rsid w:val="002A74DB"/>
    <w:rsid w:val="002B6B26"/>
    <w:rsid w:val="00321E84"/>
    <w:rsid w:val="00342277"/>
    <w:rsid w:val="00380082"/>
    <w:rsid w:val="0039771E"/>
    <w:rsid w:val="003B7F3E"/>
    <w:rsid w:val="003D3EFA"/>
    <w:rsid w:val="00464EA2"/>
    <w:rsid w:val="004C116A"/>
    <w:rsid w:val="00505FE0"/>
    <w:rsid w:val="00512920"/>
    <w:rsid w:val="00521DA9"/>
    <w:rsid w:val="00542A1F"/>
    <w:rsid w:val="00585C0B"/>
    <w:rsid w:val="005A1563"/>
    <w:rsid w:val="005A57D7"/>
    <w:rsid w:val="005B3360"/>
    <w:rsid w:val="005C152D"/>
    <w:rsid w:val="00633D24"/>
    <w:rsid w:val="00644866"/>
    <w:rsid w:val="00657BCD"/>
    <w:rsid w:val="0069078D"/>
    <w:rsid w:val="00707359"/>
    <w:rsid w:val="007267C2"/>
    <w:rsid w:val="00777181"/>
    <w:rsid w:val="00790F8F"/>
    <w:rsid w:val="00797559"/>
    <w:rsid w:val="007A0757"/>
    <w:rsid w:val="00801B53"/>
    <w:rsid w:val="0081733C"/>
    <w:rsid w:val="00851D2C"/>
    <w:rsid w:val="008666C1"/>
    <w:rsid w:val="00896FE9"/>
    <w:rsid w:val="008D4F22"/>
    <w:rsid w:val="008E3C62"/>
    <w:rsid w:val="00956D09"/>
    <w:rsid w:val="0096192A"/>
    <w:rsid w:val="0099108D"/>
    <w:rsid w:val="00995DC7"/>
    <w:rsid w:val="00A45B26"/>
    <w:rsid w:val="00AC0249"/>
    <w:rsid w:val="00B10CE9"/>
    <w:rsid w:val="00B324A0"/>
    <w:rsid w:val="00B40E48"/>
    <w:rsid w:val="00B570DF"/>
    <w:rsid w:val="00B67551"/>
    <w:rsid w:val="00B95196"/>
    <w:rsid w:val="00B97EB2"/>
    <w:rsid w:val="00BB3E92"/>
    <w:rsid w:val="00BE3E2A"/>
    <w:rsid w:val="00BE6695"/>
    <w:rsid w:val="00C96017"/>
    <w:rsid w:val="00CA34D3"/>
    <w:rsid w:val="00CD2EF3"/>
    <w:rsid w:val="00D05D2D"/>
    <w:rsid w:val="00D06D4D"/>
    <w:rsid w:val="00D10459"/>
    <w:rsid w:val="00D12FA2"/>
    <w:rsid w:val="00D6223E"/>
    <w:rsid w:val="00D7268B"/>
    <w:rsid w:val="00D82BEC"/>
    <w:rsid w:val="00D906A2"/>
    <w:rsid w:val="00DB720E"/>
    <w:rsid w:val="00E557E4"/>
    <w:rsid w:val="00E73C4C"/>
    <w:rsid w:val="00E9502E"/>
    <w:rsid w:val="00EB0105"/>
    <w:rsid w:val="00EC59AC"/>
    <w:rsid w:val="00ED00C8"/>
    <w:rsid w:val="00F52860"/>
    <w:rsid w:val="00F53754"/>
    <w:rsid w:val="00F85868"/>
    <w:rsid w:val="00FE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A1F"/>
    <w:rPr>
      <w:rFonts w:ascii="Times New Roman" w:hAnsi="Times New Roman"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1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57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57E4"/>
    <w:rPr>
      <w:rFonts w:ascii="Tahoma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33D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33D24"/>
    <w:rPr>
      <w:rFonts w:ascii="Times New Roman" w:hAnsi="Times New Roman"/>
      <w:color w:val="000000"/>
      <w:sz w:val="28"/>
      <w:szCs w:val="24"/>
    </w:rPr>
  </w:style>
  <w:style w:type="paragraph" w:styleId="a8">
    <w:name w:val="footer"/>
    <w:basedOn w:val="a"/>
    <w:link w:val="a9"/>
    <w:uiPriority w:val="99"/>
    <w:unhideWhenUsed/>
    <w:rsid w:val="00633D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33D24"/>
    <w:rPr>
      <w:rFonts w:ascii="Times New Roman" w:hAnsi="Times New Roman"/>
      <w:color w:val="000000"/>
      <w:sz w:val="28"/>
      <w:szCs w:val="24"/>
    </w:rPr>
  </w:style>
  <w:style w:type="paragraph" w:styleId="aa">
    <w:name w:val="caption"/>
    <w:basedOn w:val="a"/>
    <w:next w:val="a"/>
    <w:uiPriority w:val="35"/>
    <w:unhideWhenUsed/>
    <w:qFormat/>
    <w:rsid w:val="00707359"/>
    <w:pPr>
      <w:spacing w:after="200"/>
    </w:pPr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uiPriority w:val="59"/>
    <w:rsid w:val="003D3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A1F"/>
    <w:rPr>
      <w:rFonts w:ascii="Times New Roman" w:hAnsi="Times New Roman"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1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57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57E4"/>
    <w:rPr>
      <w:rFonts w:ascii="Tahoma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33D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33D24"/>
    <w:rPr>
      <w:rFonts w:ascii="Times New Roman" w:hAnsi="Times New Roman"/>
      <w:color w:val="000000"/>
      <w:sz w:val="28"/>
      <w:szCs w:val="24"/>
    </w:rPr>
  </w:style>
  <w:style w:type="paragraph" w:styleId="a8">
    <w:name w:val="footer"/>
    <w:basedOn w:val="a"/>
    <w:link w:val="a9"/>
    <w:uiPriority w:val="99"/>
    <w:unhideWhenUsed/>
    <w:rsid w:val="00633D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33D24"/>
    <w:rPr>
      <w:rFonts w:ascii="Times New Roman" w:hAnsi="Times New Roman"/>
      <w:color w:val="000000"/>
      <w:sz w:val="28"/>
      <w:szCs w:val="24"/>
    </w:rPr>
  </w:style>
  <w:style w:type="paragraph" w:styleId="aa">
    <w:name w:val="caption"/>
    <w:basedOn w:val="a"/>
    <w:next w:val="a"/>
    <w:uiPriority w:val="35"/>
    <w:unhideWhenUsed/>
    <w:qFormat/>
    <w:rsid w:val="00707359"/>
    <w:pPr>
      <w:spacing w:after="200"/>
    </w:pPr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uiPriority w:val="59"/>
    <w:rsid w:val="003D3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9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53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02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21702327192403459"/>
          <c:w val="0.56844235968083323"/>
          <c:h val="0.6965211926343696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Длительность анамнеза</c:v>
                </c:pt>
              </c:strCache>
            </c:strRef>
          </c:tx>
          <c:dPt>
            <c:idx val="0"/>
            <c:bubble3D val="0"/>
            <c:spPr>
              <a:solidFill>
                <a:srgbClr val="FF0000"/>
              </a:solidFill>
            </c:spPr>
          </c:dPt>
          <c:dPt>
            <c:idx val="1"/>
            <c:bubble3D val="0"/>
            <c:spPr>
              <a:solidFill>
                <a:srgbClr val="00B050"/>
              </a:solidFill>
            </c:spPr>
          </c:dPt>
          <c:dPt>
            <c:idx val="2"/>
            <c:bubble3D val="0"/>
            <c:spPr>
              <a:solidFill>
                <a:srgbClr val="7030A0"/>
              </a:solidFill>
            </c:spPr>
          </c:dPt>
          <c:dLbls>
            <c:spPr>
              <a:noFill/>
              <a:ln>
                <a:noFill/>
              </a:ln>
              <a:effectLst>
                <a:glow rad="127000">
                  <a:schemeClr val="tx1"/>
                </a:glow>
              </a:effectLst>
            </c:spPr>
            <c:txPr>
              <a:bodyPr/>
              <a:lstStyle/>
              <a:p>
                <a:pPr>
                  <a:defRPr>
                    <a:solidFill>
                      <a:srgbClr val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от 0,5 до 1 года (29%)</c:v>
                </c:pt>
                <c:pt idx="1">
                  <c:v>От 1 до 2 лет (33%)</c:v>
                </c:pt>
                <c:pt idx="2">
                  <c:v>От 2 до 4 лет (34%)</c:v>
                </c:pt>
                <c:pt idx="3">
                  <c:v>Более 4 лет (14%)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0.29000000000000015</c:v>
                </c:pt>
                <c:pt idx="1">
                  <c:v>0.33000000000000024</c:v>
                </c:pt>
                <c:pt idx="2">
                  <c:v>0.34</c:v>
                </c:pt>
                <c:pt idx="3">
                  <c:v>0.14000000000000001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9332376991661429"/>
          <c:y val="0.24401428163755237"/>
          <c:w val="0.31937333414718511"/>
          <c:h val="0.74803238830273699"/>
        </c:manualLayout>
      </c:layout>
      <c:overlay val="0"/>
    </c:legend>
    <c:plotVisOnly val="1"/>
    <c:dispBlanksAs val="zero"/>
    <c:showDLblsOverMax val="0"/>
  </c:chart>
  <c:spPr>
    <a:ln>
      <a:noFill/>
    </a:ln>
  </c:spPr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dirty="0" smtClean="0"/>
              <a:t>Распределение</a:t>
            </a:r>
            <a:r>
              <a:rPr lang="ru-RU" baseline="0" dirty="0" smtClean="0"/>
              <a:t> по полу</a:t>
            </a:r>
            <a:endParaRPr lang="ru-RU" dirty="0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0175060691186777"/>
          <c:y val="0.22360540186892824"/>
          <c:w val="0.50646393768837361"/>
          <c:h val="0.62271013097310213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Пациенты</c:v>
                </c:pt>
              </c:strCache>
            </c:strRef>
          </c:tx>
          <c:dPt>
            <c:idx val="0"/>
            <c:bubble3D val="0"/>
            <c:spPr>
              <a:solidFill>
                <a:srgbClr val="FFFF00"/>
              </a:solidFill>
            </c:spPr>
          </c:dPt>
          <c:dPt>
            <c:idx val="1"/>
            <c:bubble3D val="0"/>
            <c:spPr>
              <a:solidFill>
                <a:srgbClr val="C00000"/>
              </a:solidFill>
            </c:spPr>
          </c:dPt>
          <c:dLbls>
            <c:txPr>
              <a:bodyPr/>
              <a:lstStyle/>
              <a:p>
                <a:pPr>
                  <a:defRPr>
                    <a:solidFill>
                      <a:srgbClr val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Девочки (59%)</c:v>
                </c:pt>
                <c:pt idx="1">
                  <c:v>Мальчики (41%)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81</c:v>
                </c:pt>
                <c:pt idx="1">
                  <c:v>56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zero"/>
    <c:showDLblsOverMax val="0"/>
  </c:chart>
  <c:spPr>
    <a:ln>
      <a:noFill/>
    </a:ln>
  </c:spPr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4744AD-E1F8-45C6-A737-643B9C3E4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6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user</cp:lastModifiedBy>
  <cp:revision>13</cp:revision>
  <cp:lastPrinted>2017-03-15T11:06:00Z</cp:lastPrinted>
  <dcterms:created xsi:type="dcterms:W3CDTF">2017-03-15T06:43:00Z</dcterms:created>
  <dcterms:modified xsi:type="dcterms:W3CDTF">2017-03-15T12:11:00Z</dcterms:modified>
</cp:coreProperties>
</file>