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22" w:rsidRPr="00514734" w:rsidRDefault="00514734" w:rsidP="006C4F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76940178"/>
      <w:bookmarkStart w:id="1" w:name="_GoBack"/>
      <w:r w:rsidRPr="00514734">
        <w:rPr>
          <w:rFonts w:ascii="Times New Roman" w:hAnsi="Times New Roman" w:cs="Times New Roman"/>
          <w:b/>
          <w:sz w:val="28"/>
          <w:szCs w:val="28"/>
        </w:rPr>
        <w:t xml:space="preserve">СТРАТЕГИЯ ВЕДЕНИЯ ПАЦИЕНТОВ С ЗАКРЫТОЙ </w:t>
      </w:r>
      <w:bookmarkEnd w:id="1"/>
      <w:r w:rsidRPr="00514734">
        <w:rPr>
          <w:rFonts w:ascii="Times New Roman" w:hAnsi="Times New Roman" w:cs="Times New Roman"/>
          <w:b/>
          <w:sz w:val="28"/>
          <w:szCs w:val="28"/>
        </w:rPr>
        <w:t>ТРАВМОЙ ПЯТОЧНОЙ КОСТИ</w:t>
      </w:r>
    </w:p>
    <w:p w:rsidR="00E90165" w:rsidRPr="006C4F3C" w:rsidRDefault="00952574" w:rsidP="00E60F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b/>
          <w:sz w:val="28"/>
          <w:szCs w:val="28"/>
        </w:rPr>
        <w:t>Введение.</w:t>
      </w:r>
      <w:r w:rsidR="00E90165" w:rsidRPr="006C4F3C">
        <w:rPr>
          <w:rFonts w:ascii="Times New Roman" w:hAnsi="Times New Roman" w:cs="Times New Roman"/>
          <w:sz w:val="28"/>
          <w:szCs w:val="28"/>
        </w:rPr>
        <w:t xml:space="preserve"> Проблема выбора тактики ведения и лечения пациентов с изолированной травмой пяточной кости заслуживает особого внимания не только исследователей, но и практических врачей ввиду того, что до сих пор остается много спорных и нерешенных вопросов. Это и выбор оптимального способа лечения, и хирургической тактики, и объективной оценки состояния пострадавшего, которые в достаточном объеме позволят определить характер, объем, вид и сроки хирургических вмешательств, тем самым максимально снизить риск развития послеоперационных осложнений.</w:t>
      </w:r>
      <w:r w:rsidR="00E60F44">
        <w:rPr>
          <w:rFonts w:ascii="Times New Roman" w:hAnsi="Times New Roman" w:cs="Times New Roman"/>
          <w:sz w:val="28"/>
          <w:szCs w:val="28"/>
        </w:rPr>
        <w:t xml:space="preserve"> </w:t>
      </w:r>
      <w:r w:rsidR="007E264B" w:rsidRPr="006C4F3C">
        <w:rPr>
          <w:rFonts w:ascii="Times New Roman" w:hAnsi="Times New Roman" w:cs="Times New Roman"/>
          <w:sz w:val="28"/>
          <w:szCs w:val="28"/>
        </w:rPr>
        <w:t>Неудовлетворительные исходы лечения достигают 80,5% [</w:t>
      </w:r>
      <w:r w:rsidR="008152CE" w:rsidRPr="006C4F3C">
        <w:rPr>
          <w:rFonts w:ascii="Times New Roman" w:hAnsi="Times New Roman" w:cs="Times New Roman"/>
          <w:sz w:val="28"/>
          <w:szCs w:val="28"/>
        </w:rPr>
        <w:t>1,</w:t>
      </w:r>
      <w:r w:rsidR="007231C2"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8152CE" w:rsidRPr="006C4F3C">
        <w:rPr>
          <w:rFonts w:ascii="Times New Roman" w:hAnsi="Times New Roman" w:cs="Times New Roman"/>
          <w:sz w:val="28"/>
          <w:szCs w:val="28"/>
        </w:rPr>
        <w:t>2</w:t>
      </w:r>
      <w:r w:rsidR="007E264B" w:rsidRPr="006C4F3C">
        <w:rPr>
          <w:rFonts w:ascii="Times New Roman" w:hAnsi="Times New Roman" w:cs="Times New Roman"/>
          <w:sz w:val="28"/>
          <w:szCs w:val="28"/>
        </w:rPr>
        <w:t>]. Треть пациентов после лечения вынуждены сменить работу, а 25% признаются инвалидами</w:t>
      </w:r>
      <w:r w:rsidR="007231C2" w:rsidRPr="006C4F3C">
        <w:rPr>
          <w:rFonts w:ascii="Times New Roman" w:hAnsi="Times New Roman" w:cs="Times New Roman"/>
          <w:sz w:val="28"/>
          <w:szCs w:val="28"/>
        </w:rPr>
        <w:t xml:space="preserve"> [</w:t>
      </w:r>
      <w:r w:rsidR="00483E94" w:rsidRPr="006C4F3C">
        <w:rPr>
          <w:rFonts w:ascii="Times New Roman" w:hAnsi="Times New Roman" w:cs="Times New Roman"/>
          <w:sz w:val="28"/>
          <w:szCs w:val="28"/>
        </w:rPr>
        <w:t>4</w:t>
      </w:r>
      <w:r w:rsidR="007231C2" w:rsidRPr="006C4F3C">
        <w:rPr>
          <w:rFonts w:ascii="Times New Roman" w:hAnsi="Times New Roman" w:cs="Times New Roman"/>
          <w:sz w:val="28"/>
          <w:szCs w:val="28"/>
        </w:rPr>
        <w:t xml:space="preserve">, </w:t>
      </w:r>
      <w:r w:rsidR="00483E94" w:rsidRPr="006C4F3C">
        <w:rPr>
          <w:rFonts w:ascii="Times New Roman" w:hAnsi="Times New Roman" w:cs="Times New Roman"/>
          <w:sz w:val="28"/>
          <w:szCs w:val="28"/>
        </w:rPr>
        <w:t>5</w:t>
      </w:r>
      <w:r w:rsidR="00CC25A3" w:rsidRPr="006C4F3C">
        <w:rPr>
          <w:rFonts w:ascii="Times New Roman" w:hAnsi="Times New Roman" w:cs="Times New Roman"/>
          <w:sz w:val="28"/>
          <w:szCs w:val="28"/>
        </w:rPr>
        <w:t>].</w:t>
      </w:r>
      <w:r w:rsidR="00E60F44">
        <w:rPr>
          <w:rFonts w:ascii="Times New Roman" w:hAnsi="Times New Roman" w:cs="Times New Roman"/>
          <w:sz w:val="28"/>
          <w:szCs w:val="28"/>
        </w:rPr>
        <w:t xml:space="preserve"> </w:t>
      </w:r>
      <w:r w:rsidR="00514734">
        <w:rPr>
          <w:rFonts w:ascii="Times New Roman" w:hAnsi="Times New Roman" w:cs="Times New Roman"/>
          <w:sz w:val="28"/>
          <w:szCs w:val="28"/>
        </w:rPr>
        <w:t>Остаётся открытым</w:t>
      </w:r>
      <w:r w:rsidR="00E90165" w:rsidRPr="006C4F3C">
        <w:rPr>
          <w:rFonts w:ascii="Times New Roman" w:hAnsi="Times New Roman" w:cs="Times New Roman"/>
          <w:sz w:val="28"/>
          <w:szCs w:val="28"/>
        </w:rPr>
        <w:t xml:space="preserve"> вопрос, каким образом максимально оградить пациента от негативных послеоперационных осложнений, </w:t>
      </w:r>
      <w:r w:rsidR="00CF1305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E90165" w:rsidRPr="006C4F3C">
        <w:rPr>
          <w:rFonts w:ascii="Times New Roman" w:hAnsi="Times New Roman" w:cs="Times New Roman"/>
          <w:sz w:val="28"/>
          <w:szCs w:val="28"/>
        </w:rPr>
        <w:t>комплексно</w:t>
      </w:r>
      <w:r w:rsidR="00CF1305">
        <w:rPr>
          <w:rFonts w:ascii="Times New Roman" w:hAnsi="Times New Roman" w:cs="Times New Roman"/>
          <w:sz w:val="28"/>
          <w:szCs w:val="28"/>
        </w:rPr>
        <w:t>го</w:t>
      </w:r>
      <w:r w:rsidR="00E90165" w:rsidRPr="006C4F3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F1305">
        <w:rPr>
          <w:rFonts w:ascii="Times New Roman" w:hAnsi="Times New Roman" w:cs="Times New Roman"/>
          <w:sz w:val="28"/>
          <w:szCs w:val="28"/>
        </w:rPr>
        <w:t>я</w:t>
      </w:r>
      <w:r w:rsidR="00E90165" w:rsidRPr="006C4F3C">
        <w:rPr>
          <w:rFonts w:ascii="Times New Roman" w:hAnsi="Times New Roman" w:cs="Times New Roman"/>
          <w:sz w:val="28"/>
          <w:szCs w:val="28"/>
        </w:rPr>
        <w:t xml:space="preserve"> проблемы адресного ведения больных</w:t>
      </w:r>
      <w:r w:rsidR="00CF1305">
        <w:rPr>
          <w:rFonts w:ascii="Times New Roman" w:hAnsi="Times New Roman" w:cs="Times New Roman"/>
          <w:sz w:val="28"/>
          <w:szCs w:val="28"/>
        </w:rPr>
        <w:t>.</w:t>
      </w:r>
      <w:r w:rsidR="00E90165"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CF1305">
        <w:rPr>
          <w:rFonts w:ascii="Times New Roman" w:hAnsi="Times New Roman" w:cs="Times New Roman"/>
          <w:sz w:val="28"/>
          <w:szCs w:val="28"/>
        </w:rPr>
        <w:t>Во многом э</w:t>
      </w:r>
      <w:r w:rsidR="00E90165" w:rsidRPr="006C4F3C">
        <w:rPr>
          <w:rFonts w:ascii="Times New Roman" w:hAnsi="Times New Roman" w:cs="Times New Roman"/>
          <w:sz w:val="28"/>
          <w:szCs w:val="28"/>
        </w:rPr>
        <w:t>то связано с особенностями организации помощи пациентам с этим видом травмы.</w:t>
      </w:r>
    </w:p>
    <w:p w:rsidR="00952574" w:rsidRPr="006C4F3C" w:rsidRDefault="00952574" w:rsidP="00917891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  <w:r w:rsidR="00CF0598" w:rsidRPr="006C4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891" w:rsidRPr="00917891">
        <w:rPr>
          <w:rFonts w:ascii="Times New Roman" w:hAnsi="Times New Roman" w:cs="Times New Roman"/>
          <w:sz w:val="28"/>
          <w:szCs w:val="28"/>
        </w:rPr>
        <w:t>В</w:t>
      </w:r>
      <w:r w:rsidR="009178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598" w:rsidRPr="006C4F3C">
        <w:rPr>
          <w:rFonts w:ascii="Times New Roman" w:hAnsi="Times New Roman" w:cs="Times New Roman"/>
          <w:sz w:val="28"/>
          <w:szCs w:val="28"/>
        </w:rPr>
        <w:t>исследование</w:t>
      </w:r>
      <w:r w:rsidR="007E2DF5" w:rsidRPr="006C4F3C">
        <w:rPr>
          <w:rFonts w:ascii="Times New Roman" w:hAnsi="Times New Roman" w:cs="Times New Roman"/>
          <w:sz w:val="28"/>
          <w:szCs w:val="28"/>
        </w:rPr>
        <w:t>, проведенного</w:t>
      </w:r>
      <w:r w:rsidR="00CF0598"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7E2DF5" w:rsidRPr="006C4F3C">
        <w:rPr>
          <w:rFonts w:ascii="Times New Roman" w:hAnsi="Times New Roman" w:cs="Times New Roman"/>
          <w:sz w:val="28"/>
          <w:szCs w:val="28"/>
        </w:rPr>
        <w:t xml:space="preserve">на кафедре травматологии и ортопедии ЯГМУ, </w:t>
      </w:r>
      <w:r w:rsidR="00CF0598" w:rsidRPr="006C4F3C">
        <w:rPr>
          <w:rFonts w:ascii="Times New Roman" w:hAnsi="Times New Roman" w:cs="Times New Roman"/>
          <w:sz w:val="28"/>
          <w:szCs w:val="28"/>
        </w:rPr>
        <w:t xml:space="preserve">вошло 496 </w:t>
      </w:r>
      <w:r w:rsidR="006F744D" w:rsidRPr="006C4F3C">
        <w:rPr>
          <w:rFonts w:ascii="Times New Roman" w:hAnsi="Times New Roman" w:cs="Times New Roman"/>
          <w:sz w:val="28"/>
          <w:szCs w:val="28"/>
        </w:rPr>
        <w:t>пациентов</w:t>
      </w:r>
      <w:r w:rsidR="00CF0598" w:rsidRPr="006C4F3C">
        <w:rPr>
          <w:rFonts w:ascii="Times New Roman" w:hAnsi="Times New Roman" w:cs="Times New Roman"/>
          <w:sz w:val="28"/>
          <w:szCs w:val="28"/>
        </w:rPr>
        <w:t xml:space="preserve"> с переломом пяточной кости</w:t>
      </w:r>
      <w:r w:rsidR="007E2DF5" w:rsidRPr="006C4F3C">
        <w:rPr>
          <w:rFonts w:ascii="Times New Roman" w:hAnsi="Times New Roman" w:cs="Times New Roman"/>
          <w:sz w:val="28"/>
          <w:szCs w:val="28"/>
        </w:rPr>
        <w:t xml:space="preserve">, пролеченных на базе </w:t>
      </w:r>
      <w:r w:rsidR="00CE5B6E" w:rsidRPr="006C4F3C">
        <w:rPr>
          <w:rFonts w:ascii="Times New Roman" w:hAnsi="Times New Roman" w:cs="Times New Roman"/>
          <w:sz w:val="28"/>
          <w:szCs w:val="28"/>
        </w:rPr>
        <w:t xml:space="preserve">ГАУЗ ЯО </w:t>
      </w:r>
      <w:r w:rsidR="007E2DF5" w:rsidRPr="006C4F3C">
        <w:rPr>
          <w:rFonts w:ascii="Times New Roman" w:hAnsi="Times New Roman" w:cs="Times New Roman"/>
          <w:sz w:val="28"/>
          <w:szCs w:val="28"/>
        </w:rPr>
        <w:t>«Клиническая больница скорой медицинской помощи имени Н. В. Соловьева» г. Ярославля</w:t>
      </w:r>
      <w:r w:rsidR="00D533F2" w:rsidRPr="006C4F3C">
        <w:rPr>
          <w:rFonts w:ascii="Times New Roman" w:hAnsi="Times New Roman" w:cs="Times New Roman"/>
          <w:sz w:val="28"/>
          <w:szCs w:val="28"/>
        </w:rPr>
        <w:t>. Н</w:t>
      </w:r>
      <w:r w:rsidR="00C142D1" w:rsidRPr="006C4F3C">
        <w:rPr>
          <w:rFonts w:ascii="Times New Roman" w:hAnsi="Times New Roman" w:cs="Times New Roman"/>
          <w:sz w:val="28"/>
          <w:szCs w:val="28"/>
        </w:rPr>
        <w:t xml:space="preserve">а основании классификации по </w:t>
      </w:r>
      <w:proofErr w:type="spellStart"/>
      <w:r w:rsidR="00C142D1" w:rsidRPr="006C4F3C">
        <w:rPr>
          <w:rFonts w:ascii="Times New Roman" w:hAnsi="Times New Roman" w:cs="Times New Roman"/>
          <w:sz w:val="28"/>
          <w:szCs w:val="28"/>
        </w:rPr>
        <w:t>Sanders</w:t>
      </w:r>
      <w:proofErr w:type="spellEnd"/>
      <w:r w:rsidR="00C142D1" w:rsidRPr="006C4F3C">
        <w:rPr>
          <w:rFonts w:ascii="Times New Roman" w:hAnsi="Times New Roman" w:cs="Times New Roman"/>
          <w:sz w:val="28"/>
          <w:szCs w:val="28"/>
        </w:rPr>
        <w:t xml:space="preserve"> все случаи распределились только по двум типам, а именно: тип 2 – 194 (39%); тип 3, вне зависимости от подтипа перелома – 302 (61%).</w:t>
      </w:r>
      <w:r w:rsidR="00BA69DA" w:rsidRPr="006C4F3C">
        <w:rPr>
          <w:rFonts w:ascii="Times New Roman" w:hAnsi="Times New Roman" w:cs="Times New Roman"/>
          <w:sz w:val="28"/>
          <w:szCs w:val="28"/>
        </w:rPr>
        <w:t xml:space="preserve"> Большинство пациентов – 94% поступили в период от 3 до 12 часов от момента травмы. Возраст пациентов варьировал от 17 до 71 года и в среднем составил 42 года. Проведенная эксцерпция первичного материала, показала визуальное отсутствие явных различий между группой пациентов имевших осложнений после проведенного лечения и не имевших</w:t>
      </w:r>
      <w:r w:rsidR="00476F48">
        <w:rPr>
          <w:rFonts w:ascii="Times New Roman" w:hAnsi="Times New Roman" w:cs="Times New Roman"/>
          <w:sz w:val="28"/>
          <w:szCs w:val="28"/>
        </w:rPr>
        <w:t>.</w:t>
      </w:r>
      <w:r w:rsidR="00BA69DA"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476F48">
        <w:rPr>
          <w:rFonts w:ascii="Times New Roman" w:hAnsi="Times New Roman" w:cs="Times New Roman"/>
          <w:sz w:val="28"/>
          <w:szCs w:val="28"/>
        </w:rPr>
        <w:t xml:space="preserve">После чего </w:t>
      </w:r>
      <w:r w:rsidR="00BA69DA" w:rsidRPr="006C4F3C">
        <w:rPr>
          <w:rFonts w:ascii="Times New Roman" w:hAnsi="Times New Roman" w:cs="Times New Roman"/>
          <w:sz w:val="28"/>
          <w:szCs w:val="28"/>
        </w:rPr>
        <w:t xml:space="preserve">все пациенты </w:t>
      </w:r>
      <w:r w:rsidR="00476F48">
        <w:rPr>
          <w:rFonts w:ascii="Times New Roman" w:hAnsi="Times New Roman" w:cs="Times New Roman"/>
          <w:sz w:val="28"/>
          <w:szCs w:val="28"/>
        </w:rPr>
        <w:t>разделены</w:t>
      </w:r>
      <w:r w:rsidR="00950681" w:rsidRPr="006C4F3C">
        <w:rPr>
          <w:rFonts w:ascii="Times New Roman" w:hAnsi="Times New Roman" w:cs="Times New Roman"/>
          <w:sz w:val="28"/>
          <w:szCs w:val="28"/>
        </w:rPr>
        <w:t xml:space="preserve"> на 2 группы, </w:t>
      </w:r>
      <w:r w:rsidR="00BA69DA" w:rsidRPr="006C4F3C">
        <w:rPr>
          <w:rFonts w:ascii="Times New Roman" w:hAnsi="Times New Roman" w:cs="Times New Roman"/>
          <w:sz w:val="28"/>
          <w:szCs w:val="28"/>
        </w:rPr>
        <w:t>исследуемая группа</w:t>
      </w:r>
      <w:r w:rsidR="00987D94" w:rsidRPr="006C4F3C">
        <w:rPr>
          <w:rFonts w:ascii="Times New Roman" w:hAnsi="Times New Roman" w:cs="Times New Roman"/>
          <w:sz w:val="28"/>
          <w:szCs w:val="28"/>
        </w:rPr>
        <w:t xml:space="preserve"> – </w:t>
      </w:r>
      <w:r w:rsidR="00BA69DA" w:rsidRPr="006C4F3C">
        <w:rPr>
          <w:rFonts w:ascii="Times New Roman" w:hAnsi="Times New Roman" w:cs="Times New Roman"/>
          <w:sz w:val="28"/>
          <w:szCs w:val="28"/>
        </w:rPr>
        <w:t>138</w:t>
      </w:r>
      <w:r w:rsidR="00987D94" w:rsidRPr="006C4F3C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BA69DA" w:rsidRPr="006C4F3C">
        <w:rPr>
          <w:rFonts w:ascii="Times New Roman" w:hAnsi="Times New Roman" w:cs="Times New Roman"/>
          <w:sz w:val="28"/>
          <w:szCs w:val="28"/>
        </w:rPr>
        <w:t xml:space="preserve">; контрольная группа </w:t>
      </w:r>
      <w:r w:rsidR="00987D94" w:rsidRPr="006C4F3C">
        <w:rPr>
          <w:rFonts w:ascii="Times New Roman" w:hAnsi="Times New Roman" w:cs="Times New Roman"/>
          <w:sz w:val="28"/>
          <w:szCs w:val="28"/>
        </w:rPr>
        <w:t xml:space="preserve">– </w:t>
      </w:r>
      <w:r w:rsidR="00BA69DA" w:rsidRPr="006C4F3C">
        <w:rPr>
          <w:rFonts w:ascii="Times New Roman" w:hAnsi="Times New Roman" w:cs="Times New Roman"/>
          <w:sz w:val="28"/>
          <w:szCs w:val="28"/>
        </w:rPr>
        <w:t xml:space="preserve">358 случаев, пациенты которой имели иной </w:t>
      </w:r>
      <w:r w:rsidR="00BA69DA" w:rsidRPr="006C4F3C">
        <w:rPr>
          <w:rFonts w:ascii="Times New Roman" w:hAnsi="Times New Roman" w:cs="Times New Roman"/>
          <w:sz w:val="28"/>
          <w:szCs w:val="28"/>
        </w:rPr>
        <w:lastRenderedPageBreak/>
        <w:t>алгоритм ведения и лечения.</w:t>
      </w:r>
      <w:r w:rsidR="001E31BF" w:rsidRPr="006C4F3C">
        <w:rPr>
          <w:rFonts w:ascii="Times New Roman" w:hAnsi="Times New Roman" w:cs="Times New Roman"/>
          <w:sz w:val="28"/>
          <w:szCs w:val="28"/>
        </w:rPr>
        <w:t xml:space="preserve"> Всем пациентам выполнялись общие клинические анализы, биохимическое исследование крови. Учитывалась температурная кривая при поступлении, в день операции, послеоперационном периоде и при выписке. Выполнялся рентген в проекциях по </w:t>
      </w:r>
      <w:proofErr w:type="spellStart"/>
      <w:r w:rsidR="001E31BF" w:rsidRPr="006C4F3C">
        <w:rPr>
          <w:rFonts w:ascii="Times New Roman" w:hAnsi="Times New Roman" w:cs="Times New Roman"/>
          <w:sz w:val="28"/>
          <w:szCs w:val="28"/>
        </w:rPr>
        <w:t>Бродену</w:t>
      </w:r>
      <w:proofErr w:type="spellEnd"/>
      <w:r w:rsidR="001E31BF" w:rsidRPr="006C4F3C">
        <w:rPr>
          <w:rFonts w:ascii="Times New Roman" w:hAnsi="Times New Roman" w:cs="Times New Roman"/>
          <w:sz w:val="28"/>
          <w:szCs w:val="28"/>
        </w:rPr>
        <w:t>.</w:t>
      </w:r>
      <w:r w:rsidR="00151418" w:rsidRPr="006C4F3C">
        <w:rPr>
          <w:rFonts w:ascii="Times New Roman" w:hAnsi="Times New Roman" w:cs="Times New Roman"/>
          <w:sz w:val="28"/>
          <w:szCs w:val="28"/>
        </w:rPr>
        <w:t xml:space="preserve"> Части пациентам, а именно 241 (49%) выполнили компьютерную томографию (КТ). Проводилась оценка местного сосудистого статуса путем выполнения ультразвукового доплерного сканирования сосудов</w:t>
      </w:r>
      <w:r w:rsidR="00950681" w:rsidRPr="006C4F3C">
        <w:rPr>
          <w:rFonts w:ascii="Times New Roman" w:hAnsi="Times New Roman" w:cs="Times New Roman"/>
          <w:sz w:val="28"/>
          <w:szCs w:val="28"/>
        </w:rPr>
        <w:t xml:space="preserve"> (УЗДС)</w:t>
      </w:r>
      <w:r w:rsidR="00151418" w:rsidRPr="006C4F3C">
        <w:rPr>
          <w:rFonts w:ascii="Times New Roman" w:hAnsi="Times New Roman" w:cs="Times New Roman"/>
          <w:sz w:val="28"/>
          <w:szCs w:val="28"/>
        </w:rPr>
        <w:t xml:space="preserve"> нижней конечности. Все пациенты прооперированы путем открытой репозиции с фиксацией пластиной по системе ORIF</w:t>
      </w:r>
      <w:r w:rsidR="003A3F61" w:rsidRPr="006C4F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A3F61" w:rsidRPr="006C4F3C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="003A3F61" w:rsidRPr="006C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61" w:rsidRPr="006C4F3C">
        <w:rPr>
          <w:rFonts w:ascii="Times New Roman" w:hAnsi="Times New Roman" w:cs="Times New Roman"/>
          <w:sz w:val="28"/>
          <w:szCs w:val="28"/>
        </w:rPr>
        <w:t>reduction</w:t>
      </w:r>
      <w:proofErr w:type="spellEnd"/>
      <w:r w:rsidR="003A3F61" w:rsidRPr="006C4F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3F61" w:rsidRPr="006C4F3C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="003A3F61" w:rsidRPr="006C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F61" w:rsidRPr="006C4F3C">
        <w:rPr>
          <w:rFonts w:ascii="Times New Roman" w:hAnsi="Times New Roman" w:cs="Times New Roman"/>
          <w:sz w:val="28"/>
          <w:szCs w:val="28"/>
        </w:rPr>
        <w:t>fixation</w:t>
      </w:r>
      <w:proofErr w:type="spellEnd"/>
      <w:r w:rsidR="003A3F61" w:rsidRPr="006C4F3C">
        <w:rPr>
          <w:rFonts w:ascii="Times New Roman" w:hAnsi="Times New Roman" w:cs="Times New Roman"/>
          <w:sz w:val="28"/>
          <w:szCs w:val="28"/>
        </w:rPr>
        <w:t xml:space="preserve">). </w:t>
      </w:r>
      <w:r w:rsidR="00950681" w:rsidRPr="006C4F3C">
        <w:rPr>
          <w:rFonts w:ascii="Times New Roman" w:hAnsi="Times New Roman" w:cs="Times New Roman"/>
          <w:sz w:val="28"/>
          <w:szCs w:val="28"/>
        </w:rPr>
        <w:t>П</w:t>
      </w:r>
      <w:r w:rsidR="003A3F61" w:rsidRPr="006C4F3C">
        <w:rPr>
          <w:rFonts w:ascii="Times New Roman" w:hAnsi="Times New Roman" w:cs="Times New Roman"/>
          <w:sz w:val="28"/>
          <w:szCs w:val="28"/>
        </w:rPr>
        <w:t xml:space="preserve">о наличию/отсутствию осложнений </w:t>
      </w:r>
      <w:r w:rsidR="00950681" w:rsidRPr="006C4F3C">
        <w:rPr>
          <w:rFonts w:ascii="Times New Roman" w:hAnsi="Times New Roman" w:cs="Times New Roman"/>
          <w:sz w:val="28"/>
          <w:szCs w:val="28"/>
        </w:rPr>
        <w:t>разделение</w:t>
      </w:r>
      <w:r w:rsidR="003A3F61" w:rsidRPr="006C4F3C">
        <w:rPr>
          <w:rFonts w:ascii="Times New Roman" w:hAnsi="Times New Roman" w:cs="Times New Roman"/>
          <w:sz w:val="28"/>
          <w:szCs w:val="28"/>
        </w:rPr>
        <w:t xml:space="preserve"> было следующим: наличие осложнений у женщин было у 18 из 25 (72%); у мужчин – 165 из 471 (35%). Всего 183 случая осложнений, что составило 37% от общего объема выборки. Подгрупповое разделение по виду осложнений было следующее: </w:t>
      </w:r>
      <w:r w:rsidR="00D15731" w:rsidRPr="006C4F3C">
        <w:rPr>
          <w:rFonts w:ascii="Times New Roman" w:hAnsi="Times New Roman" w:cs="Times New Roman"/>
          <w:sz w:val="28"/>
          <w:szCs w:val="28"/>
        </w:rPr>
        <w:t xml:space="preserve">некроз краев послеоперационной раны – 38 (21%); </w:t>
      </w:r>
      <w:r w:rsidR="003A3F61" w:rsidRPr="006C4F3C">
        <w:rPr>
          <w:rFonts w:ascii="Times New Roman" w:hAnsi="Times New Roman" w:cs="Times New Roman"/>
          <w:sz w:val="28"/>
          <w:szCs w:val="28"/>
        </w:rPr>
        <w:t>нагноение зоны п</w:t>
      </w:r>
      <w:r w:rsidR="00D15731" w:rsidRPr="006C4F3C">
        <w:rPr>
          <w:rFonts w:ascii="Times New Roman" w:hAnsi="Times New Roman" w:cs="Times New Roman"/>
          <w:sz w:val="28"/>
          <w:szCs w:val="28"/>
        </w:rPr>
        <w:t>осле операционной</w:t>
      </w:r>
      <w:r w:rsidR="003A3F61" w:rsidRPr="006C4F3C">
        <w:rPr>
          <w:rFonts w:ascii="Times New Roman" w:hAnsi="Times New Roman" w:cs="Times New Roman"/>
          <w:sz w:val="28"/>
          <w:szCs w:val="28"/>
        </w:rPr>
        <w:t xml:space="preserve"> раны/</w:t>
      </w:r>
      <w:r w:rsidR="00D15731" w:rsidRPr="006C4F3C">
        <w:rPr>
          <w:rFonts w:ascii="Times New Roman" w:hAnsi="Times New Roman" w:cs="Times New Roman"/>
          <w:sz w:val="28"/>
          <w:szCs w:val="28"/>
        </w:rPr>
        <w:t xml:space="preserve">зоны </w:t>
      </w:r>
      <w:r w:rsidR="003A3F61" w:rsidRPr="006C4F3C">
        <w:rPr>
          <w:rFonts w:ascii="Times New Roman" w:hAnsi="Times New Roman" w:cs="Times New Roman"/>
          <w:sz w:val="28"/>
          <w:szCs w:val="28"/>
        </w:rPr>
        <w:t>остеосинтеза</w:t>
      </w:r>
      <w:r w:rsidR="00D15731" w:rsidRPr="006C4F3C">
        <w:rPr>
          <w:rFonts w:ascii="Times New Roman" w:hAnsi="Times New Roman" w:cs="Times New Roman"/>
          <w:sz w:val="28"/>
          <w:szCs w:val="28"/>
        </w:rPr>
        <w:t xml:space="preserve"> –</w:t>
      </w:r>
      <w:r w:rsidR="003A3F61" w:rsidRPr="006C4F3C">
        <w:rPr>
          <w:rFonts w:ascii="Times New Roman" w:hAnsi="Times New Roman" w:cs="Times New Roman"/>
          <w:sz w:val="28"/>
          <w:szCs w:val="28"/>
        </w:rPr>
        <w:t xml:space="preserve"> 96 (52%);</w:t>
      </w:r>
      <w:r w:rsidR="00D15731" w:rsidRPr="006C4F3C">
        <w:rPr>
          <w:rFonts w:ascii="Times New Roman" w:hAnsi="Times New Roman" w:cs="Times New Roman"/>
          <w:sz w:val="28"/>
          <w:szCs w:val="28"/>
        </w:rPr>
        <w:t xml:space="preserve"> миграция металлоконструкции с угрозой внутреннего пролежня – 25 (14%); остеомиелит пяточной кости – 16 (9%); </w:t>
      </w:r>
      <w:proofErr w:type="spellStart"/>
      <w:r w:rsidR="00D15731" w:rsidRPr="006C4F3C">
        <w:rPr>
          <w:rFonts w:ascii="Times New Roman" w:hAnsi="Times New Roman" w:cs="Times New Roman"/>
          <w:sz w:val="28"/>
          <w:szCs w:val="28"/>
        </w:rPr>
        <w:t>тендинит</w:t>
      </w:r>
      <w:proofErr w:type="spellEnd"/>
      <w:r w:rsidR="00D15731" w:rsidRPr="006C4F3C">
        <w:rPr>
          <w:rFonts w:ascii="Times New Roman" w:hAnsi="Times New Roman" w:cs="Times New Roman"/>
          <w:sz w:val="28"/>
          <w:szCs w:val="28"/>
        </w:rPr>
        <w:t xml:space="preserve"> малоберцовой мышцы – 6 (3%); лигатурный свищ – 2 (1%).</w:t>
      </w:r>
    </w:p>
    <w:p w:rsidR="00C614A3" w:rsidRPr="006C4F3C" w:rsidRDefault="00C614A3" w:rsidP="006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Статистическую обработку исследования произвели на IBM PC совместимом компьютере с помощью программ STATISTICA версия 10.0,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MedCalc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 версия 15.</w:t>
      </w:r>
      <w:r w:rsidR="006250BE">
        <w:rPr>
          <w:rFonts w:ascii="Times New Roman" w:hAnsi="Times New Roman" w:cs="Times New Roman"/>
          <w:sz w:val="28"/>
          <w:szCs w:val="28"/>
        </w:rPr>
        <w:t xml:space="preserve">8 </w:t>
      </w:r>
      <w:r w:rsidRPr="006C4F3C">
        <w:rPr>
          <w:rFonts w:ascii="Times New Roman" w:hAnsi="Times New Roman" w:cs="Times New Roman"/>
          <w:sz w:val="28"/>
          <w:szCs w:val="28"/>
        </w:rPr>
        <w:t>в среде WINDOWS.</w:t>
      </w:r>
    </w:p>
    <w:p w:rsidR="005E0EB5" w:rsidRPr="006C4F3C" w:rsidRDefault="00952574" w:rsidP="007B2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b/>
          <w:sz w:val="28"/>
          <w:szCs w:val="28"/>
        </w:rPr>
        <w:t>Результаты.</w:t>
      </w:r>
      <w:r w:rsidR="00D91919" w:rsidRPr="006C4F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EC7" w:rsidRPr="006C4F3C">
        <w:rPr>
          <w:rFonts w:ascii="Times New Roman" w:hAnsi="Times New Roman" w:cs="Times New Roman"/>
          <w:sz w:val="28"/>
          <w:szCs w:val="28"/>
        </w:rPr>
        <w:t>Учитывая цель исследования и принимая во внимание опыт и практические рекомендации ведущих отечественных и зарубежных травматологических школ</w:t>
      </w:r>
      <w:r w:rsidR="007231C2" w:rsidRPr="006C4F3C">
        <w:rPr>
          <w:rFonts w:ascii="Times New Roman" w:hAnsi="Times New Roman" w:cs="Times New Roman"/>
          <w:sz w:val="28"/>
          <w:szCs w:val="28"/>
        </w:rPr>
        <w:t xml:space="preserve"> [</w:t>
      </w:r>
      <w:r w:rsidR="006900FB">
        <w:rPr>
          <w:rFonts w:ascii="Times New Roman" w:hAnsi="Times New Roman" w:cs="Times New Roman"/>
          <w:sz w:val="28"/>
          <w:szCs w:val="28"/>
        </w:rPr>
        <w:t>3</w:t>
      </w:r>
      <w:r w:rsidR="007231C2" w:rsidRPr="006C4F3C">
        <w:rPr>
          <w:rFonts w:ascii="Times New Roman" w:hAnsi="Times New Roman" w:cs="Times New Roman"/>
          <w:sz w:val="28"/>
          <w:szCs w:val="28"/>
        </w:rPr>
        <w:t xml:space="preserve">, </w:t>
      </w:r>
      <w:r w:rsidR="006900FB">
        <w:rPr>
          <w:rFonts w:ascii="Times New Roman" w:hAnsi="Times New Roman" w:cs="Times New Roman"/>
          <w:sz w:val="28"/>
          <w:szCs w:val="28"/>
        </w:rPr>
        <w:t>8</w:t>
      </w:r>
      <w:r w:rsidR="007231C2" w:rsidRPr="006C4F3C">
        <w:rPr>
          <w:rFonts w:ascii="Times New Roman" w:hAnsi="Times New Roman" w:cs="Times New Roman"/>
          <w:sz w:val="28"/>
          <w:szCs w:val="28"/>
        </w:rPr>
        <w:t>, 1</w:t>
      </w:r>
      <w:r w:rsidR="00483E94" w:rsidRPr="006C4F3C">
        <w:rPr>
          <w:rFonts w:ascii="Times New Roman" w:hAnsi="Times New Roman" w:cs="Times New Roman"/>
          <w:sz w:val="28"/>
          <w:szCs w:val="28"/>
        </w:rPr>
        <w:t>0</w:t>
      </w:r>
      <w:r w:rsidR="007231C2" w:rsidRPr="006C4F3C">
        <w:rPr>
          <w:rFonts w:ascii="Times New Roman" w:hAnsi="Times New Roman" w:cs="Times New Roman"/>
          <w:sz w:val="28"/>
          <w:szCs w:val="28"/>
        </w:rPr>
        <w:t>]</w:t>
      </w:r>
      <w:r w:rsidR="008B7EC7" w:rsidRPr="006C4F3C">
        <w:rPr>
          <w:rFonts w:ascii="Times New Roman" w:hAnsi="Times New Roman" w:cs="Times New Roman"/>
          <w:sz w:val="28"/>
          <w:szCs w:val="28"/>
        </w:rPr>
        <w:t>, нами был разработан протокол ведения пациентов с травмой пяточной кости. Суть его заключается, с одной стороны, в выделении этапов оказания медицинского пособия, с другой – детализации мероприятий и процедур, относящихся к временной шкале этапности.</w:t>
      </w:r>
      <w:r w:rsidR="006900FB">
        <w:rPr>
          <w:rFonts w:ascii="Times New Roman" w:hAnsi="Times New Roman" w:cs="Times New Roman"/>
          <w:sz w:val="28"/>
          <w:szCs w:val="28"/>
        </w:rPr>
        <w:t xml:space="preserve"> </w:t>
      </w:r>
      <w:r w:rsidR="006900FB" w:rsidRPr="006900FB">
        <w:rPr>
          <w:rFonts w:ascii="Times New Roman" w:hAnsi="Times New Roman" w:cs="Times New Roman"/>
          <w:sz w:val="28"/>
          <w:szCs w:val="28"/>
        </w:rPr>
        <w:t>Помимо этого, для детализации вида осложнений с учетом факторов риска и возможности их реализации на различных этапах ведения больных с изолированными переломами пяточной кости, нами разработана рабочая классификация характера осложнений у данного контингента пациентов</w:t>
      </w:r>
      <w:r w:rsidR="006900FB">
        <w:rPr>
          <w:rFonts w:ascii="Times New Roman" w:hAnsi="Times New Roman" w:cs="Times New Roman"/>
          <w:sz w:val="28"/>
          <w:szCs w:val="28"/>
        </w:rPr>
        <w:t xml:space="preserve"> </w:t>
      </w:r>
      <w:r w:rsidR="006900FB" w:rsidRPr="006C4F3C">
        <w:rPr>
          <w:rFonts w:ascii="Times New Roman" w:hAnsi="Times New Roman" w:cs="Times New Roman"/>
          <w:sz w:val="28"/>
          <w:szCs w:val="28"/>
        </w:rPr>
        <w:t>[</w:t>
      </w:r>
      <w:r w:rsidR="006900FB">
        <w:rPr>
          <w:rFonts w:ascii="Times New Roman" w:hAnsi="Times New Roman" w:cs="Times New Roman"/>
          <w:sz w:val="28"/>
          <w:szCs w:val="28"/>
        </w:rPr>
        <w:t>6</w:t>
      </w:r>
      <w:r w:rsidR="006900FB" w:rsidRPr="006C4F3C">
        <w:rPr>
          <w:rFonts w:ascii="Times New Roman" w:hAnsi="Times New Roman" w:cs="Times New Roman"/>
          <w:sz w:val="28"/>
          <w:szCs w:val="28"/>
        </w:rPr>
        <w:t>]</w:t>
      </w:r>
      <w:r w:rsidR="006900FB">
        <w:rPr>
          <w:rFonts w:ascii="Times New Roman" w:hAnsi="Times New Roman" w:cs="Times New Roman"/>
          <w:sz w:val="28"/>
          <w:szCs w:val="28"/>
        </w:rPr>
        <w:t>.</w:t>
      </w:r>
    </w:p>
    <w:p w:rsidR="0073154A" w:rsidRPr="006C4F3C" w:rsidRDefault="00072048" w:rsidP="006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Следующим шагом стала </w:t>
      </w:r>
      <w:r w:rsidR="0073154A" w:rsidRPr="006C4F3C">
        <w:rPr>
          <w:rFonts w:ascii="Times New Roman" w:hAnsi="Times New Roman" w:cs="Times New Roman"/>
          <w:sz w:val="28"/>
          <w:szCs w:val="28"/>
        </w:rPr>
        <w:t>проверка статистических гипотез, которая выявила следующее: на первом этапе (первичное обращение в стационар) из 9 порядковых учитываемых показателей, достоверно различающимися оказались 8</w:t>
      </w:r>
      <w:r w:rsidR="00B1105A" w:rsidRPr="006C4F3C">
        <w:rPr>
          <w:rFonts w:ascii="Times New Roman" w:hAnsi="Times New Roman" w:cs="Times New Roman"/>
          <w:sz w:val="28"/>
          <w:szCs w:val="28"/>
        </w:rPr>
        <w:t xml:space="preserve">; </w:t>
      </w:r>
      <w:r w:rsidR="007231C2" w:rsidRPr="006C4F3C">
        <w:rPr>
          <w:rFonts w:ascii="Times New Roman" w:hAnsi="Times New Roman" w:cs="Times New Roman"/>
          <w:sz w:val="28"/>
          <w:szCs w:val="28"/>
        </w:rPr>
        <w:t>н</w:t>
      </w:r>
      <w:r w:rsidR="00B1105A" w:rsidRPr="006C4F3C">
        <w:rPr>
          <w:rFonts w:ascii="Times New Roman" w:hAnsi="Times New Roman" w:cs="Times New Roman"/>
          <w:sz w:val="28"/>
          <w:szCs w:val="28"/>
        </w:rPr>
        <w:t>а дооперационном этапе достоверно отличающимися порядковыми показателями оказались – наличие/отсутствие выполнения УЗДС, наличия отека зоны перелома; ранний послеоперационный этап включил в себя 5 количественных достоверно отличающихся показателей из 12 и 1 из 3 порядковых; в пятый (выписка и строгие рекомендации), шестой (ранняя реабилитация) и седьмой (поздняя реабилитация) этапы нашего протокола из трех количественных показателей, достоверно отличались 2 показателя, единственный учитываемый порядковый показатель, а именно наличие/отсутствие полного ряда рекомендаций, значимо различался в каждой из групп.</w:t>
      </w:r>
    </w:p>
    <w:p w:rsidR="00B1105A" w:rsidRPr="006C4F3C" w:rsidRDefault="00691C9F" w:rsidP="006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Для выявления статистической значимости связи между учтенным показателем (фактор риска) и исходом </w:t>
      </w:r>
      <w:r w:rsidR="009573E9" w:rsidRPr="006C4F3C">
        <w:rPr>
          <w:rFonts w:ascii="Times New Roman" w:hAnsi="Times New Roman" w:cs="Times New Roman"/>
          <w:sz w:val="28"/>
          <w:szCs w:val="28"/>
        </w:rPr>
        <w:t xml:space="preserve">(осложнение) </w:t>
      </w:r>
      <w:r w:rsidRPr="006C4F3C">
        <w:rPr>
          <w:rFonts w:ascii="Times New Roman" w:hAnsi="Times New Roman" w:cs="Times New Roman"/>
          <w:sz w:val="28"/>
          <w:szCs w:val="28"/>
        </w:rPr>
        <w:t>в двух группах применялось вычисление релятивистских рисков (</w:t>
      </w:r>
      <w:r w:rsidRPr="006C4F3C">
        <w:rPr>
          <w:rFonts w:ascii="Times New Roman" w:hAnsi="Times New Roman" w:cs="Times New Roman"/>
          <w:sz w:val="28"/>
          <w:szCs w:val="28"/>
          <w:lang w:val="en-US"/>
        </w:rPr>
        <w:t>RR</w:t>
      </w:r>
      <w:r w:rsidRPr="006C4F3C">
        <w:rPr>
          <w:rFonts w:ascii="Times New Roman" w:hAnsi="Times New Roman" w:cs="Times New Roman"/>
          <w:sz w:val="28"/>
          <w:szCs w:val="28"/>
        </w:rPr>
        <w:t>) и отношения шансов (ОШ)</w:t>
      </w:r>
      <w:r w:rsidR="00837E6F" w:rsidRPr="006C4F3C">
        <w:rPr>
          <w:rFonts w:ascii="Times New Roman" w:hAnsi="Times New Roman" w:cs="Times New Roman"/>
          <w:sz w:val="28"/>
          <w:szCs w:val="28"/>
        </w:rPr>
        <w:t xml:space="preserve"> [</w:t>
      </w:r>
      <w:r w:rsidR="002A539E">
        <w:rPr>
          <w:rFonts w:ascii="Times New Roman" w:hAnsi="Times New Roman" w:cs="Times New Roman"/>
          <w:sz w:val="28"/>
          <w:szCs w:val="28"/>
        </w:rPr>
        <w:t>7</w:t>
      </w:r>
      <w:r w:rsidR="00837E6F" w:rsidRPr="006C4F3C">
        <w:rPr>
          <w:rFonts w:ascii="Times New Roman" w:hAnsi="Times New Roman" w:cs="Times New Roman"/>
          <w:sz w:val="28"/>
          <w:szCs w:val="28"/>
        </w:rPr>
        <w:t xml:space="preserve">, </w:t>
      </w:r>
      <w:r w:rsidR="002A539E">
        <w:rPr>
          <w:rFonts w:ascii="Times New Roman" w:hAnsi="Times New Roman" w:cs="Times New Roman"/>
          <w:sz w:val="28"/>
          <w:szCs w:val="28"/>
        </w:rPr>
        <w:t>9</w:t>
      </w:r>
      <w:r w:rsidR="00837E6F" w:rsidRPr="006C4F3C">
        <w:rPr>
          <w:rFonts w:ascii="Times New Roman" w:hAnsi="Times New Roman" w:cs="Times New Roman"/>
          <w:sz w:val="28"/>
          <w:szCs w:val="28"/>
        </w:rPr>
        <w:t>]</w:t>
      </w:r>
      <w:r w:rsidRPr="006C4F3C">
        <w:rPr>
          <w:rFonts w:ascii="Times New Roman" w:hAnsi="Times New Roman" w:cs="Times New Roman"/>
          <w:sz w:val="28"/>
          <w:szCs w:val="28"/>
        </w:rPr>
        <w:t>, их г</w:t>
      </w:r>
      <w:r w:rsidR="00B1105A" w:rsidRPr="006C4F3C">
        <w:rPr>
          <w:rFonts w:ascii="Times New Roman" w:hAnsi="Times New Roman" w:cs="Times New Roman"/>
          <w:sz w:val="28"/>
          <w:szCs w:val="28"/>
        </w:rPr>
        <w:t xml:space="preserve">рафическое распределение представлено на рисунке </w:t>
      </w:r>
      <w:r w:rsidR="00B42CF5">
        <w:rPr>
          <w:rFonts w:ascii="Times New Roman" w:hAnsi="Times New Roman" w:cs="Times New Roman"/>
          <w:sz w:val="28"/>
          <w:szCs w:val="28"/>
        </w:rPr>
        <w:t>1.</w:t>
      </w:r>
    </w:p>
    <w:p w:rsidR="005E30D6" w:rsidRPr="006C4F3C" w:rsidRDefault="005E30D6" w:rsidP="006C4F3C">
      <w:pPr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</w:p>
    <w:p w:rsidR="005E30D6" w:rsidRPr="006C4F3C" w:rsidRDefault="005E30D6" w:rsidP="006C4F3C">
      <w:pPr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6393C" wp14:editId="70D379D6">
            <wp:extent cx="5219700" cy="21348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71C" w:rsidRPr="006C4F3C" w:rsidRDefault="00D7571C" w:rsidP="006C4F3C">
      <w:pPr>
        <w:spacing w:after="0" w:line="360" w:lineRule="auto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B42CF5">
        <w:rPr>
          <w:rFonts w:ascii="Times New Roman" w:hAnsi="Times New Roman" w:cs="Times New Roman"/>
          <w:sz w:val="28"/>
          <w:szCs w:val="28"/>
        </w:rPr>
        <w:t>1</w:t>
      </w:r>
      <w:r w:rsidRPr="006C4F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Форест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-диаграммы где</w:t>
      </w:r>
      <w:r w:rsidR="006476CA" w:rsidRPr="006C4F3C">
        <w:rPr>
          <w:rFonts w:ascii="Times New Roman" w:hAnsi="Times New Roman" w:cs="Times New Roman"/>
          <w:sz w:val="28"/>
          <w:szCs w:val="28"/>
        </w:rPr>
        <w:t>:</w:t>
      </w:r>
      <w:r w:rsidRPr="006C4F3C">
        <w:rPr>
          <w:rFonts w:ascii="Times New Roman" w:hAnsi="Times New Roman" w:cs="Times New Roman"/>
          <w:sz w:val="28"/>
          <w:szCs w:val="28"/>
        </w:rPr>
        <w:t xml:space="preserve"> а – распределение релятивистских рисков (</w:t>
      </w:r>
      <w:r w:rsidRPr="006C4F3C">
        <w:rPr>
          <w:rFonts w:ascii="Times New Roman" w:hAnsi="Times New Roman" w:cs="Times New Roman"/>
          <w:sz w:val="28"/>
          <w:szCs w:val="28"/>
          <w:lang w:val="en-US"/>
        </w:rPr>
        <w:t>RR</w:t>
      </w:r>
      <w:r w:rsidRPr="006C4F3C">
        <w:rPr>
          <w:rFonts w:ascii="Times New Roman" w:hAnsi="Times New Roman" w:cs="Times New Roman"/>
          <w:sz w:val="28"/>
          <w:szCs w:val="28"/>
        </w:rPr>
        <w:t>); б – распределение отношения шансов (ОШ) учитываемых факторов риска</w:t>
      </w:r>
    </w:p>
    <w:p w:rsidR="007F1888" w:rsidRPr="006C4F3C" w:rsidRDefault="007F1888" w:rsidP="006C4F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>Значимо коррелирующими дооперационными показателями, где коэффициент корреляции не опускался ниже значения 0,25 в абсолютном выражении, оказались: УЗДС,</w:t>
      </w:r>
      <w:r w:rsidR="00C44205"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Pr="006C4F3C">
        <w:rPr>
          <w:rFonts w:ascii="Times New Roman" w:hAnsi="Times New Roman" w:cs="Times New Roman"/>
          <w:sz w:val="28"/>
          <w:szCs w:val="28"/>
        </w:rPr>
        <w:t>вредные привычки</w:t>
      </w:r>
      <w:r w:rsidR="00C44205" w:rsidRPr="006C4F3C">
        <w:rPr>
          <w:rFonts w:ascii="Times New Roman" w:hAnsi="Times New Roman" w:cs="Times New Roman"/>
          <w:sz w:val="28"/>
          <w:szCs w:val="28"/>
        </w:rPr>
        <w:t xml:space="preserve">, </w:t>
      </w:r>
      <w:r w:rsidRPr="006C4F3C">
        <w:rPr>
          <w:rFonts w:ascii="Times New Roman" w:hAnsi="Times New Roman" w:cs="Times New Roman"/>
          <w:sz w:val="28"/>
          <w:szCs w:val="28"/>
        </w:rPr>
        <w:t>предоперационная антибиотикопрофилактика</w:t>
      </w:r>
      <w:r w:rsidR="00C44205" w:rsidRPr="006C4F3C">
        <w:rPr>
          <w:rFonts w:ascii="Times New Roman" w:hAnsi="Times New Roman" w:cs="Times New Roman"/>
          <w:sz w:val="28"/>
          <w:szCs w:val="28"/>
        </w:rPr>
        <w:t xml:space="preserve">, </w:t>
      </w:r>
      <w:r w:rsidRPr="006C4F3C">
        <w:rPr>
          <w:rFonts w:ascii="Times New Roman" w:hAnsi="Times New Roman" w:cs="Times New Roman"/>
          <w:sz w:val="28"/>
          <w:szCs w:val="28"/>
        </w:rPr>
        <w:t>отек</w:t>
      </w:r>
      <w:r w:rsidR="00C44205" w:rsidRPr="006C4F3C">
        <w:rPr>
          <w:rFonts w:ascii="Times New Roman" w:hAnsi="Times New Roman" w:cs="Times New Roman"/>
          <w:sz w:val="28"/>
          <w:szCs w:val="28"/>
        </w:rPr>
        <w:t xml:space="preserve"> зоны перелома, </w:t>
      </w:r>
      <w:r w:rsidRPr="006C4F3C">
        <w:rPr>
          <w:rFonts w:ascii="Times New Roman" w:hAnsi="Times New Roman" w:cs="Times New Roman"/>
          <w:sz w:val="28"/>
          <w:szCs w:val="28"/>
        </w:rPr>
        <w:t>систолическое</w:t>
      </w:r>
      <w:r w:rsidR="00C44205" w:rsidRPr="006C4F3C">
        <w:rPr>
          <w:rFonts w:ascii="Times New Roman" w:hAnsi="Times New Roman" w:cs="Times New Roman"/>
          <w:sz w:val="28"/>
          <w:szCs w:val="28"/>
        </w:rPr>
        <w:t xml:space="preserve"> артериальное давление (АД), уровень </w:t>
      </w:r>
      <w:r w:rsidRPr="006C4F3C">
        <w:rPr>
          <w:rFonts w:ascii="Times New Roman" w:hAnsi="Times New Roman" w:cs="Times New Roman"/>
          <w:sz w:val="28"/>
          <w:szCs w:val="28"/>
        </w:rPr>
        <w:t>гемоглобин</w:t>
      </w:r>
      <w:r w:rsidR="00C44205" w:rsidRPr="006C4F3C">
        <w:rPr>
          <w:rFonts w:ascii="Times New Roman" w:hAnsi="Times New Roman" w:cs="Times New Roman"/>
          <w:sz w:val="28"/>
          <w:szCs w:val="28"/>
        </w:rPr>
        <w:t>а, лейкоцитов, скорости оседания эритроцитов (СОЭ), глюкозы крови и протромбиновый индекс (ПТИ) при первичном взятии анализов.</w:t>
      </w:r>
      <w:r w:rsidR="005750CB" w:rsidRPr="006C4F3C">
        <w:rPr>
          <w:rFonts w:ascii="Times New Roman" w:hAnsi="Times New Roman" w:cs="Times New Roman"/>
          <w:sz w:val="28"/>
          <w:szCs w:val="28"/>
        </w:rPr>
        <w:t xml:space="preserve"> Эти же предикторы имеют </w:t>
      </w:r>
      <w:r w:rsidR="005750CB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мультипликативный эффект на параметр-отклик – факт возникновения осложнения</w:t>
      </w:r>
      <w:r w:rsidR="005750CB" w:rsidRPr="006C4F3C">
        <w:rPr>
          <w:rFonts w:ascii="Times New Roman" w:hAnsi="Times New Roman" w:cs="Times New Roman"/>
          <w:sz w:val="28"/>
          <w:szCs w:val="28"/>
        </w:rPr>
        <w:t xml:space="preserve">, при логарифмическом правдоподобии нулевой модели =653,128; хи-квадрат </w:t>
      </w:r>
      <w:r w:rsidR="005750CB" w:rsidRPr="006C4F3C">
        <w:rPr>
          <w:rFonts w:ascii="Times New Roman" w:hAnsi="Times New Roman" w:cs="Times New Roman"/>
          <w:sz w:val="28"/>
          <w:szCs w:val="28"/>
        </w:rPr>
        <w:sym w:font="Symbol" w:char="F063"/>
      </w:r>
      <w:r w:rsidR="005750CB" w:rsidRPr="006C4F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750CB" w:rsidRPr="006C4F3C">
        <w:rPr>
          <w:rFonts w:ascii="Times New Roman" w:hAnsi="Times New Roman" w:cs="Times New Roman"/>
          <w:sz w:val="28"/>
          <w:szCs w:val="28"/>
        </w:rPr>
        <w:t xml:space="preserve">=458,054; уровне значимости </w:t>
      </w:r>
      <w:r w:rsidR="004F45D5" w:rsidRPr="006C4F3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750CB" w:rsidRPr="006C4F3C">
        <w:rPr>
          <w:rFonts w:ascii="Times New Roman" w:hAnsi="Times New Roman" w:cs="Times New Roman"/>
          <w:sz w:val="28"/>
          <w:szCs w:val="28"/>
        </w:rPr>
        <w:t xml:space="preserve">&lt;0,0001 и DF=10 с </w:t>
      </w:r>
      <w:proofErr w:type="spellStart"/>
      <w:r w:rsidR="005750CB" w:rsidRPr="006C4F3C">
        <w:rPr>
          <w:rFonts w:ascii="Times New Roman" w:hAnsi="Times New Roman" w:cs="Times New Roman"/>
          <w:sz w:val="28"/>
          <w:szCs w:val="28"/>
        </w:rPr>
        <w:t>Cox</w:t>
      </w:r>
      <w:proofErr w:type="spellEnd"/>
      <w:r w:rsidR="005750CB" w:rsidRPr="006C4F3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5750CB" w:rsidRPr="006C4F3C">
        <w:rPr>
          <w:rFonts w:ascii="Times New Roman" w:hAnsi="Times New Roman" w:cs="Times New Roman"/>
          <w:sz w:val="28"/>
          <w:szCs w:val="28"/>
        </w:rPr>
        <w:t>Snell</w:t>
      </w:r>
      <w:proofErr w:type="spellEnd"/>
      <w:r w:rsidR="005750CB" w:rsidRPr="006C4F3C">
        <w:rPr>
          <w:rFonts w:ascii="Times New Roman" w:hAnsi="Times New Roman" w:cs="Times New Roman"/>
          <w:sz w:val="28"/>
          <w:szCs w:val="28"/>
        </w:rPr>
        <w:t xml:space="preserve"> R2=0,602. Мощность модели составила 91,73%. </w:t>
      </w:r>
      <w:r w:rsidR="001D260D" w:rsidRPr="006C4F3C">
        <w:rPr>
          <w:rFonts w:ascii="Times New Roman" w:hAnsi="Times New Roman" w:cs="Times New Roman"/>
          <w:sz w:val="28"/>
          <w:szCs w:val="28"/>
        </w:rPr>
        <w:t xml:space="preserve">Для модели созданной для выбора метода лечения, значения ROC-анализа оказались следующими: 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&lt;0,0001, а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ссоциативный 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&gt;0,249, чувствительность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=96,72, специфичность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A63F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=89,14. Графически 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ROC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-кривая представлена на рисунке </w:t>
      </w:r>
      <w:r w:rsidR="00D657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260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0CB" w:rsidRPr="006C4F3C" w:rsidRDefault="005750CB" w:rsidP="006C4F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2E64C0" wp14:editId="5BDBD8C3">
            <wp:extent cx="2715313" cy="2787161"/>
            <wp:effectExtent l="0" t="0" r="889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48" r="15115" b="3826"/>
                    <a:stretch/>
                  </pic:blipFill>
                  <pic:spPr bwMode="auto">
                    <a:xfrm>
                      <a:off x="0" y="0"/>
                      <a:ext cx="2753653" cy="28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60D" w:rsidRPr="006C4F3C" w:rsidRDefault="001D260D" w:rsidP="006C4F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657E3">
        <w:rPr>
          <w:rFonts w:ascii="Times New Roman" w:hAnsi="Times New Roman" w:cs="Times New Roman"/>
          <w:sz w:val="28"/>
          <w:szCs w:val="28"/>
        </w:rPr>
        <w:t>2</w:t>
      </w:r>
      <w:r w:rsidRPr="006C4F3C">
        <w:rPr>
          <w:rFonts w:ascii="Times New Roman" w:hAnsi="Times New Roman" w:cs="Times New Roman"/>
          <w:sz w:val="28"/>
          <w:szCs w:val="28"/>
        </w:rPr>
        <w:t xml:space="preserve"> – ROC-кривая для модели выбора метода лечения</w:t>
      </w:r>
    </w:p>
    <w:p w:rsidR="003B6E8B" w:rsidRPr="006C4F3C" w:rsidRDefault="005720B1" w:rsidP="006C4F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Такие же процедуры выполнены для построения модели оценки вероятности возникновения осложнения после проведенного лечения. </w:t>
      </w:r>
      <w:r w:rsidR="003B60B2" w:rsidRPr="006C4F3C">
        <w:rPr>
          <w:rFonts w:ascii="Times New Roman" w:hAnsi="Times New Roman" w:cs="Times New Roman"/>
          <w:sz w:val="28"/>
          <w:szCs w:val="28"/>
        </w:rPr>
        <w:t xml:space="preserve">Учитывая цензурированный характер данных касающихся отслеживания послеоперационного статуса на предмет наличия или отсутствия факта возникновения осложнений за определенный временной промежуток, проведена процедура анализа кривых «дожития» по Каплану-Мейеру </w:t>
      </w:r>
      <w:r w:rsidR="00D67BA7" w:rsidRPr="006C4F3C">
        <w:rPr>
          <w:rFonts w:ascii="Times New Roman" w:hAnsi="Times New Roman" w:cs="Times New Roman"/>
          <w:sz w:val="28"/>
          <w:szCs w:val="28"/>
        </w:rPr>
        <w:t>[</w:t>
      </w:r>
      <w:r w:rsidR="002A539E">
        <w:rPr>
          <w:rFonts w:ascii="Times New Roman" w:hAnsi="Times New Roman" w:cs="Times New Roman"/>
          <w:sz w:val="28"/>
          <w:szCs w:val="28"/>
        </w:rPr>
        <w:t>7</w:t>
      </w:r>
      <w:r w:rsidR="00D67BA7" w:rsidRPr="006C4F3C">
        <w:rPr>
          <w:rFonts w:ascii="Times New Roman" w:hAnsi="Times New Roman" w:cs="Times New Roman"/>
          <w:sz w:val="28"/>
          <w:szCs w:val="28"/>
        </w:rPr>
        <w:t>]</w:t>
      </w:r>
      <w:r w:rsidR="003B60B2" w:rsidRPr="006C4F3C">
        <w:rPr>
          <w:rFonts w:ascii="Times New Roman" w:hAnsi="Times New Roman" w:cs="Times New Roman"/>
          <w:sz w:val="28"/>
          <w:szCs w:val="28"/>
        </w:rPr>
        <w:t xml:space="preserve">. В результате различия оказались высоко значимыми (p≤0,001) при F=7,849 и T1=122,51, T2=61,49. После чего, также с учетом </w:t>
      </w:r>
      <w:proofErr w:type="spellStart"/>
      <w:r w:rsidR="003B60B2" w:rsidRPr="006C4F3C">
        <w:rPr>
          <w:rFonts w:ascii="Times New Roman" w:hAnsi="Times New Roman" w:cs="Times New Roman"/>
          <w:sz w:val="28"/>
          <w:szCs w:val="28"/>
        </w:rPr>
        <w:t>цензурированности</w:t>
      </w:r>
      <w:proofErr w:type="spellEnd"/>
      <w:r w:rsidR="003B60B2" w:rsidRPr="006C4F3C">
        <w:rPr>
          <w:rFonts w:ascii="Times New Roman" w:hAnsi="Times New Roman" w:cs="Times New Roman"/>
          <w:sz w:val="28"/>
          <w:szCs w:val="28"/>
        </w:rPr>
        <w:t xml:space="preserve"> данных, была применена процедура множественного регрессионного анализа методом пропорциональных нагрузок Кокса</w:t>
      </w:r>
      <w:r w:rsidR="00D67BA7" w:rsidRPr="006C4F3C">
        <w:rPr>
          <w:rFonts w:ascii="Times New Roman" w:hAnsi="Times New Roman" w:cs="Times New Roman"/>
          <w:sz w:val="28"/>
          <w:szCs w:val="28"/>
        </w:rPr>
        <w:t xml:space="preserve"> [</w:t>
      </w:r>
      <w:r w:rsidR="002A539E">
        <w:rPr>
          <w:rFonts w:ascii="Times New Roman" w:hAnsi="Times New Roman" w:cs="Times New Roman"/>
          <w:sz w:val="28"/>
          <w:szCs w:val="28"/>
        </w:rPr>
        <w:t>7</w:t>
      </w:r>
      <w:r w:rsidR="00D67BA7" w:rsidRPr="006C4F3C">
        <w:rPr>
          <w:rFonts w:ascii="Times New Roman" w:hAnsi="Times New Roman" w:cs="Times New Roman"/>
          <w:sz w:val="28"/>
          <w:szCs w:val="28"/>
        </w:rPr>
        <w:t>]</w:t>
      </w:r>
      <w:r w:rsidR="003B60B2" w:rsidRPr="006C4F3C">
        <w:rPr>
          <w:rFonts w:ascii="Times New Roman" w:hAnsi="Times New Roman" w:cs="Times New Roman"/>
          <w:sz w:val="28"/>
          <w:szCs w:val="28"/>
        </w:rPr>
        <w:t>. Значимость построенной модели оказалась высокой при p≤0,001, F=142,08 и стандартной ошибки оценивания равной 0,28. Коэффициент детерминации R=0,819, а вычисленный коэффициент детерминации R</w:t>
      </w:r>
      <w:r w:rsidR="003B60B2" w:rsidRPr="006C4F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3B60B2" w:rsidRPr="006C4F3C">
        <w:rPr>
          <w:rFonts w:ascii="Times New Roman" w:hAnsi="Times New Roman" w:cs="Times New Roman"/>
          <w:sz w:val="28"/>
          <w:szCs w:val="28"/>
        </w:rPr>
        <w:t>=0,666. Значимыми предикторами оказались следующие: УЗДС, предоперационная антибиотикопрофилактика, отек зоны перелома, значение температуры тела на 1-е сутки после операции, уровень лейкоцитов и глюкозы крови при первичном анализе крови, СОЭ при контрольном</w:t>
      </w:r>
      <w:r w:rsidR="006B2875" w:rsidRPr="006C4F3C">
        <w:rPr>
          <w:rFonts w:ascii="Times New Roman" w:hAnsi="Times New Roman" w:cs="Times New Roman"/>
          <w:sz w:val="28"/>
          <w:szCs w:val="28"/>
        </w:rPr>
        <w:t>. Выполненная процедура ROC-анализа имела следующие операционные характеристики модели оценки вероятности возникновения осложнения после проведенного лечения: площадь под кривой (</w:t>
      </w:r>
      <w:r w:rsidR="006B2875" w:rsidRPr="006C4F3C">
        <w:rPr>
          <w:rFonts w:ascii="Times New Roman" w:hAnsi="Times New Roman" w:cs="Times New Roman"/>
          <w:sz w:val="28"/>
          <w:szCs w:val="28"/>
          <w:lang w:val="en-US"/>
        </w:rPr>
        <w:t>AUC</w:t>
      </w:r>
      <w:r w:rsidR="006B2875" w:rsidRPr="006C4F3C">
        <w:rPr>
          <w:rFonts w:ascii="Times New Roman" w:hAnsi="Times New Roman" w:cs="Times New Roman"/>
          <w:sz w:val="28"/>
          <w:szCs w:val="28"/>
        </w:rPr>
        <w:t xml:space="preserve">)=0,859, </w:t>
      </w:r>
      <w:r w:rsidR="006B2875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875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6B2875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&lt;0,0001, ассоциативный критерий &gt;11,304, чувствительность </w:t>
      </w:r>
      <w:r w:rsidR="002A63F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</w:t>
      </w:r>
      <w:r w:rsidR="006B2875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=96,17 и специфичность </w:t>
      </w:r>
      <w:proofErr w:type="spellStart"/>
      <w:r w:rsidR="002A63FD" w:rsidRPr="006C4F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proofErr w:type="spellEnd"/>
      <w:r w:rsidR="006B2875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>=65,5.</w:t>
      </w:r>
      <w:r w:rsidR="003B6E8B" w:rsidRPr="006C4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E8B" w:rsidRPr="006C4F3C">
        <w:rPr>
          <w:rFonts w:ascii="Times New Roman" w:eastAsia="Times New Roman" w:hAnsi="Times New Roman" w:cs="Times New Roman"/>
          <w:sz w:val="28"/>
          <w:szCs w:val="28"/>
        </w:rPr>
        <w:t xml:space="preserve">Графическое отражение </w:t>
      </w:r>
      <w:r w:rsidR="003B6E8B" w:rsidRPr="006C4F3C">
        <w:rPr>
          <w:rFonts w:ascii="Times New Roman" w:eastAsia="Times New Roman" w:hAnsi="Times New Roman" w:cs="Times New Roman"/>
          <w:sz w:val="28"/>
          <w:szCs w:val="28"/>
          <w:lang w:val="en-US"/>
        </w:rPr>
        <w:t>ROC</w:t>
      </w:r>
      <w:r w:rsidR="003B6E8B" w:rsidRPr="006C4F3C">
        <w:rPr>
          <w:rFonts w:ascii="Times New Roman" w:eastAsia="Times New Roman" w:hAnsi="Times New Roman" w:cs="Times New Roman"/>
          <w:sz w:val="28"/>
          <w:szCs w:val="28"/>
        </w:rPr>
        <w:t xml:space="preserve">-кривой с учетом цензурированных данных приведено на рисунке </w:t>
      </w:r>
      <w:r w:rsidR="00D657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3B6E8B" w:rsidRPr="006C4F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4C36" w:rsidRPr="006C4F3C" w:rsidRDefault="003B6E8B" w:rsidP="006C4F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4F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C087E6">
            <wp:extent cx="2467743" cy="252031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6" r="15058" b="3981"/>
                    <a:stretch/>
                  </pic:blipFill>
                  <pic:spPr bwMode="auto">
                    <a:xfrm>
                      <a:off x="0" y="0"/>
                      <a:ext cx="2483351" cy="253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E8B" w:rsidRPr="006C4F3C" w:rsidRDefault="003B6E8B" w:rsidP="006C4F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4F3C">
        <w:rPr>
          <w:rFonts w:ascii="Times New Roman" w:eastAsia="Times New Roman" w:hAnsi="Times New Roman" w:cs="Times New Roman"/>
          <w:sz w:val="28"/>
          <w:szCs w:val="28"/>
        </w:rPr>
        <w:t xml:space="preserve">Рисунок </w:t>
      </w:r>
      <w:r w:rsidR="00D657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C4F3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6C4F3C">
        <w:rPr>
          <w:rFonts w:ascii="Times New Roman" w:eastAsia="Times New Roman" w:hAnsi="Times New Roman" w:cs="Times New Roman"/>
          <w:sz w:val="28"/>
          <w:szCs w:val="28"/>
          <w:lang w:val="en-US"/>
        </w:rPr>
        <w:t>ROC</w:t>
      </w:r>
      <w:r w:rsidRPr="006C4F3C">
        <w:rPr>
          <w:rFonts w:ascii="Times New Roman" w:eastAsia="Times New Roman" w:hAnsi="Times New Roman" w:cs="Times New Roman"/>
          <w:sz w:val="28"/>
          <w:szCs w:val="28"/>
        </w:rPr>
        <w:t>-кривая для модели оценки вероятности возникновения осложнения после проведенного лечения с учетом цензурированных данных</w:t>
      </w:r>
    </w:p>
    <w:bookmarkEnd w:id="0"/>
    <w:p w:rsidR="00431EC0" w:rsidRPr="006C4F3C" w:rsidRDefault="009B120A" w:rsidP="006C4F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4F3C">
        <w:rPr>
          <w:rFonts w:ascii="Times New Roman" w:hAnsi="Times New Roman" w:cs="Times New Roman"/>
          <w:b/>
          <w:sz w:val="28"/>
          <w:szCs w:val="28"/>
        </w:rPr>
        <w:t>Выводы</w:t>
      </w:r>
      <w:r w:rsidR="00E677D4" w:rsidRPr="006C4F3C">
        <w:rPr>
          <w:rFonts w:ascii="Times New Roman" w:hAnsi="Times New Roman" w:cs="Times New Roman"/>
          <w:b/>
          <w:sz w:val="28"/>
          <w:szCs w:val="28"/>
        </w:rPr>
        <w:t>.</w:t>
      </w:r>
    </w:p>
    <w:p w:rsidR="00EB72E5" w:rsidRPr="006C4F3C" w:rsidRDefault="00EB72E5" w:rsidP="006C4F3C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Отсутствие единого подхода к тактике ведения пациентов с изолированными, неосложненными переломами пяточных костей со смещением, становится ведущим звеном повышения риска развития осложнений. </w:t>
      </w:r>
    </w:p>
    <w:p w:rsidR="00431EC0" w:rsidRPr="006C4F3C" w:rsidRDefault="00431EC0" w:rsidP="006C4F3C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>Выя</w:t>
      </w:r>
      <w:r w:rsidR="00A47F8B" w:rsidRPr="006C4F3C">
        <w:rPr>
          <w:rFonts w:ascii="Times New Roman" w:hAnsi="Times New Roman" w:cs="Times New Roman"/>
          <w:sz w:val="28"/>
          <w:szCs w:val="28"/>
        </w:rPr>
        <w:t>влен</w:t>
      </w:r>
      <w:r w:rsidR="006E0D32" w:rsidRPr="006C4F3C">
        <w:rPr>
          <w:rFonts w:ascii="Times New Roman" w:hAnsi="Times New Roman" w:cs="Times New Roman"/>
          <w:sz w:val="28"/>
          <w:szCs w:val="28"/>
        </w:rPr>
        <w:t>о</w:t>
      </w:r>
      <w:r w:rsidR="00A47F8B"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6E0D32" w:rsidRPr="006C4F3C">
        <w:rPr>
          <w:rFonts w:ascii="Times New Roman" w:hAnsi="Times New Roman" w:cs="Times New Roman"/>
          <w:sz w:val="28"/>
          <w:szCs w:val="28"/>
        </w:rPr>
        <w:t>9</w:t>
      </w:r>
      <w:r w:rsidR="00A47F8B" w:rsidRPr="006C4F3C">
        <w:rPr>
          <w:rFonts w:ascii="Times New Roman" w:hAnsi="Times New Roman" w:cs="Times New Roman"/>
          <w:sz w:val="28"/>
          <w:szCs w:val="28"/>
        </w:rPr>
        <w:t xml:space="preserve"> факторо</w:t>
      </w:r>
      <w:r w:rsidR="006E0D32" w:rsidRPr="006C4F3C">
        <w:rPr>
          <w:rFonts w:ascii="Times New Roman" w:hAnsi="Times New Roman" w:cs="Times New Roman"/>
          <w:sz w:val="28"/>
          <w:szCs w:val="28"/>
        </w:rPr>
        <w:t>в риска</w:t>
      </w:r>
      <w:r w:rsidRPr="006C4F3C">
        <w:rPr>
          <w:rFonts w:ascii="Times New Roman" w:hAnsi="Times New Roman" w:cs="Times New Roman"/>
          <w:sz w:val="28"/>
          <w:szCs w:val="28"/>
        </w:rPr>
        <w:t xml:space="preserve">, </w:t>
      </w:r>
      <w:r w:rsidR="006E0D32" w:rsidRPr="006C4F3C">
        <w:rPr>
          <w:rFonts w:ascii="Times New Roman" w:hAnsi="Times New Roman" w:cs="Times New Roman"/>
          <w:sz w:val="28"/>
          <w:szCs w:val="28"/>
        </w:rPr>
        <w:t>достоверно (</w:t>
      </w:r>
      <w:r w:rsidR="006E0D32" w:rsidRPr="006C4F3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E0D32" w:rsidRPr="006C4F3C">
        <w:rPr>
          <w:rFonts w:ascii="Times New Roman" w:hAnsi="Times New Roman" w:cs="Times New Roman"/>
          <w:sz w:val="28"/>
          <w:szCs w:val="28"/>
        </w:rPr>
        <w:t>&lt;0,05) ассоциированных с вероятностью возникновения осложнения, при этом их релятивистские риски находились в пределах от  0,41 [0,217-0,774]</w:t>
      </w:r>
      <w:r w:rsidR="0017000C" w:rsidRPr="006C4F3C">
        <w:rPr>
          <w:rFonts w:ascii="Times New Roman" w:hAnsi="Times New Roman" w:cs="Times New Roman"/>
          <w:sz w:val="28"/>
          <w:szCs w:val="28"/>
        </w:rPr>
        <w:t xml:space="preserve"> до 0,047 [0,012-0,184]</w:t>
      </w:r>
      <w:r w:rsidR="006E0D32" w:rsidRPr="006C4F3C">
        <w:rPr>
          <w:rFonts w:ascii="Times New Roman" w:hAnsi="Times New Roman" w:cs="Times New Roman"/>
          <w:sz w:val="28"/>
          <w:szCs w:val="28"/>
        </w:rPr>
        <w:t>, а отношение шансов от 0,253 [0,109-0,578]</w:t>
      </w:r>
      <w:r w:rsidR="0017000C" w:rsidRPr="006C4F3C">
        <w:rPr>
          <w:rFonts w:ascii="Times New Roman" w:hAnsi="Times New Roman" w:cs="Times New Roman"/>
          <w:sz w:val="28"/>
          <w:szCs w:val="28"/>
        </w:rPr>
        <w:t xml:space="preserve"> до 0,009 [0,002-0,044]</w:t>
      </w:r>
      <w:r w:rsidR="006E0D32" w:rsidRPr="006C4F3C">
        <w:rPr>
          <w:rFonts w:ascii="Times New Roman" w:hAnsi="Times New Roman" w:cs="Times New Roman"/>
          <w:sz w:val="28"/>
          <w:szCs w:val="28"/>
        </w:rPr>
        <w:t>.</w:t>
      </w:r>
    </w:p>
    <w:p w:rsidR="008C4795" w:rsidRPr="006C4F3C" w:rsidRDefault="00026F54" w:rsidP="006C4F3C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>Снижению риска возникновения осложнений способствует использование многомерной математической модели выбора</w:t>
      </w:r>
      <w:r w:rsidR="008C4795" w:rsidRPr="006C4F3C">
        <w:rPr>
          <w:rFonts w:ascii="Times New Roman" w:hAnsi="Times New Roman" w:cs="Times New Roman"/>
          <w:sz w:val="28"/>
          <w:szCs w:val="28"/>
        </w:rPr>
        <w:t xml:space="preserve"> метода лечения, </w:t>
      </w:r>
      <w:r w:rsidRPr="006C4F3C">
        <w:rPr>
          <w:rFonts w:ascii="Times New Roman" w:hAnsi="Times New Roman" w:cs="Times New Roman"/>
          <w:sz w:val="28"/>
          <w:szCs w:val="28"/>
        </w:rPr>
        <w:t xml:space="preserve">обладающей чувствительностью </w:t>
      </w:r>
      <w:r w:rsidRPr="006C4F3C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6C4F3C">
        <w:rPr>
          <w:rFonts w:ascii="Times New Roman" w:hAnsi="Times New Roman" w:cs="Times New Roman"/>
          <w:sz w:val="28"/>
          <w:szCs w:val="28"/>
        </w:rPr>
        <w:t>=96,7 [93,0-98,8]</w:t>
      </w:r>
      <w:r w:rsidR="00101E66" w:rsidRPr="006C4F3C">
        <w:rPr>
          <w:rFonts w:ascii="Times New Roman" w:hAnsi="Times New Roman" w:cs="Times New Roman"/>
          <w:sz w:val="28"/>
          <w:szCs w:val="28"/>
        </w:rPr>
        <w:t>%</w:t>
      </w:r>
      <w:r w:rsidRPr="006C4F3C">
        <w:rPr>
          <w:rFonts w:ascii="Times New Roman" w:hAnsi="Times New Roman" w:cs="Times New Roman"/>
          <w:sz w:val="28"/>
          <w:szCs w:val="28"/>
        </w:rPr>
        <w:t xml:space="preserve">, специфичностью </w:t>
      </w: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=89,1 [85,2-92,4]</w:t>
      </w:r>
      <w:r w:rsidR="00101E66" w:rsidRPr="006C4F3C">
        <w:rPr>
          <w:rFonts w:ascii="Times New Roman" w:hAnsi="Times New Roman" w:cs="Times New Roman"/>
          <w:sz w:val="28"/>
          <w:szCs w:val="28"/>
        </w:rPr>
        <w:t>%</w:t>
      </w:r>
      <w:r w:rsidRPr="006C4F3C">
        <w:rPr>
          <w:rFonts w:ascii="Times New Roman" w:hAnsi="Times New Roman" w:cs="Times New Roman"/>
          <w:sz w:val="28"/>
          <w:szCs w:val="28"/>
        </w:rPr>
        <w:t xml:space="preserve"> и прогностической мощностью 91,7%. </w:t>
      </w:r>
    </w:p>
    <w:p w:rsidR="00D130FB" w:rsidRPr="006C4F3C" w:rsidRDefault="00D130FB" w:rsidP="006C4F3C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В случае выбора оперативного метода лечения в раннем послеоперационном периоде целесообразно использовать оценку риска возникновения осложнений на основании второй прогностической модели, обладающей чувствительностью </w:t>
      </w:r>
      <w:r w:rsidRPr="006C4F3C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6C4F3C">
        <w:rPr>
          <w:rFonts w:ascii="Times New Roman" w:hAnsi="Times New Roman" w:cs="Times New Roman"/>
          <w:sz w:val="28"/>
          <w:szCs w:val="28"/>
        </w:rPr>
        <w:t>=96,1 [92,3-98,4]</w:t>
      </w:r>
      <w:r w:rsidR="00101E66" w:rsidRPr="006C4F3C">
        <w:rPr>
          <w:rFonts w:ascii="Times New Roman" w:hAnsi="Times New Roman" w:cs="Times New Roman"/>
          <w:sz w:val="28"/>
          <w:szCs w:val="28"/>
        </w:rPr>
        <w:t>%</w:t>
      </w:r>
      <w:r w:rsidRPr="006C4F3C">
        <w:rPr>
          <w:rFonts w:ascii="Times New Roman" w:hAnsi="Times New Roman" w:cs="Times New Roman"/>
          <w:sz w:val="28"/>
          <w:szCs w:val="28"/>
        </w:rPr>
        <w:t xml:space="preserve">, специфичностью </w:t>
      </w: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=65,5 [59,9-70,8]</w:t>
      </w:r>
      <w:r w:rsidR="00101E66" w:rsidRPr="006C4F3C">
        <w:rPr>
          <w:rFonts w:ascii="Times New Roman" w:hAnsi="Times New Roman" w:cs="Times New Roman"/>
          <w:sz w:val="28"/>
          <w:szCs w:val="28"/>
        </w:rPr>
        <w:t>%</w:t>
      </w:r>
      <w:r w:rsidRPr="006C4F3C">
        <w:rPr>
          <w:rFonts w:ascii="Times New Roman" w:hAnsi="Times New Roman" w:cs="Times New Roman"/>
          <w:sz w:val="28"/>
          <w:szCs w:val="28"/>
        </w:rPr>
        <w:t xml:space="preserve"> и прогностической мощностью 94,2%.  </w:t>
      </w:r>
    </w:p>
    <w:p w:rsidR="00432C68" w:rsidRPr="006C4F3C" w:rsidRDefault="00EB72E5" w:rsidP="006C4F3C">
      <w:pPr>
        <w:pStyle w:val="a4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>Подробный план лечения пациентов с изолированными, неосложненными переломами пяточных костей со смещением</w:t>
      </w:r>
      <w:r w:rsidR="008477C7" w:rsidRPr="006C4F3C">
        <w:rPr>
          <w:rFonts w:ascii="Times New Roman" w:hAnsi="Times New Roman" w:cs="Times New Roman"/>
          <w:sz w:val="28"/>
          <w:szCs w:val="28"/>
        </w:rPr>
        <w:t>, основанный на применении предлагаемых нами алгоритмов,</w:t>
      </w:r>
      <w:r w:rsidRPr="006C4F3C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8477C7" w:rsidRPr="006C4F3C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8477C7" w:rsidRPr="006C4F3C">
        <w:rPr>
          <w:rFonts w:ascii="Times New Roman" w:hAnsi="Times New Roman" w:cs="Times New Roman"/>
          <w:sz w:val="28"/>
          <w:szCs w:val="28"/>
        </w:rPr>
        <w:t>снизить число осложнений.</w:t>
      </w:r>
      <w:r w:rsidRPr="006C4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EC0" w:rsidRPr="006C4F3C" w:rsidRDefault="009B120A" w:rsidP="006C4F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E677D4" w:rsidRPr="006C4F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72E5" w:rsidRPr="006C4F3C">
        <w:rPr>
          <w:rFonts w:ascii="Times New Roman" w:hAnsi="Times New Roman" w:cs="Times New Roman"/>
          <w:sz w:val="28"/>
          <w:szCs w:val="28"/>
        </w:rPr>
        <w:t>Разработан простой и удобный протокол ведения пациентов с изолированными, неосложненными переломами пяточных костей со смещением. В нем четко прописаны все необходимые мероприятия и их последовательность, с целью снижения риска развития осложнений как в стационарном, так и в амбулаторном периоде для конкретного пациента. Протокол напрямую связан с разработанными моделями.</w:t>
      </w:r>
      <w:r w:rsidRPr="006C4F3C">
        <w:rPr>
          <w:rFonts w:ascii="Times New Roman" w:hAnsi="Times New Roman" w:cs="Times New Roman"/>
          <w:sz w:val="28"/>
          <w:szCs w:val="28"/>
        </w:rPr>
        <w:t xml:space="preserve"> </w:t>
      </w:r>
      <w:r w:rsidR="00431EC0" w:rsidRPr="006C4F3C">
        <w:rPr>
          <w:rFonts w:ascii="Times New Roman" w:hAnsi="Times New Roman" w:cs="Times New Roman"/>
          <w:sz w:val="28"/>
          <w:szCs w:val="28"/>
        </w:rPr>
        <w:t>Полученные результаты проведенной работы, полученные на основе современных способов доказательной медицины, смогут в высокой степени изменить существующий подход к тактике ведения пациентов с травмой пяточной кости, и значимо снизить риск развития осложнений после проведенного лечения.</w:t>
      </w:r>
    </w:p>
    <w:p w:rsidR="00952574" w:rsidRPr="006C4F3C" w:rsidRDefault="000C1DE5" w:rsidP="006C4F3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C4F3C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C4F3C" w:rsidRPr="006C4F3C" w:rsidRDefault="006C4F3C" w:rsidP="006C4F3C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76941671"/>
      <w:r w:rsidRPr="006C4F3C">
        <w:rPr>
          <w:rFonts w:ascii="Times New Roman" w:hAnsi="Times New Roman" w:cs="Times New Roman"/>
          <w:sz w:val="28"/>
          <w:szCs w:val="28"/>
        </w:rPr>
        <w:t xml:space="preserve">Ефименко Н.А. Хирургическое лечение заболеваний и повреждений стопы / Н. А. Ефименко, А. А.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Грицюк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, С. М. Рыбаков, А. Л. Рябов // Военно- медицинский журнал. – 2002. – Т. 23. – № 4. – С. 12-18.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Корышков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, Н. А. Рациональные методы диагностики и лечения повреждений стопы: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. … док. мед. наук / Н. А.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Корышков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: – Москва, 2005. – 36 с.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Котельников, Г. П. Травматология: национальное руководство / Под ред. Г.П. Котельникова, С. П. Миронова – 2-е изд.,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. и доп. – М.: ГЭОТАР–Медиа, 2011. – С. 705-715.</w:t>
      </w:r>
    </w:p>
    <w:p w:rsidR="006C4F3C" w:rsidRPr="002F765C" w:rsidRDefault="002F765C" w:rsidP="003F6C9D">
      <w:pPr>
        <w:pStyle w:val="a4"/>
        <w:numPr>
          <w:ilvl w:val="0"/>
          <w:numId w:val="6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765C">
        <w:rPr>
          <w:rFonts w:ascii="Times New Roman" w:hAnsi="Times New Roman" w:cs="Times New Roman"/>
          <w:sz w:val="28"/>
          <w:szCs w:val="28"/>
        </w:rPr>
        <w:t>Лантух</w:t>
      </w:r>
      <w:proofErr w:type="spellEnd"/>
      <w:r w:rsidRPr="002F765C">
        <w:rPr>
          <w:rFonts w:ascii="Times New Roman" w:hAnsi="Times New Roman" w:cs="Times New Roman"/>
          <w:sz w:val="28"/>
          <w:szCs w:val="28"/>
        </w:rPr>
        <w:t xml:space="preserve">, Т. А. Показания и противопоказания к хирургическому лечению внутрисуставных переломов пяточной кости: </w:t>
      </w:r>
      <w:proofErr w:type="spellStart"/>
      <w:r w:rsidRPr="002F765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F765C">
        <w:rPr>
          <w:rFonts w:ascii="Times New Roman" w:hAnsi="Times New Roman" w:cs="Times New Roman"/>
          <w:sz w:val="28"/>
          <w:szCs w:val="28"/>
        </w:rPr>
        <w:t xml:space="preserve">. … канд. мед. наук / Т. А. </w:t>
      </w:r>
      <w:proofErr w:type="spellStart"/>
      <w:r w:rsidRPr="002F765C">
        <w:rPr>
          <w:rFonts w:ascii="Times New Roman" w:hAnsi="Times New Roman" w:cs="Times New Roman"/>
          <w:sz w:val="28"/>
          <w:szCs w:val="28"/>
        </w:rPr>
        <w:t>Лантух</w:t>
      </w:r>
      <w:proofErr w:type="spellEnd"/>
      <w:r w:rsidRPr="002F765C">
        <w:rPr>
          <w:rFonts w:ascii="Times New Roman" w:hAnsi="Times New Roman" w:cs="Times New Roman"/>
          <w:sz w:val="28"/>
          <w:szCs w:val="28"/>
        </w:rPr>
        <w:t>: – Москва, 2014. – С. 126.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, Е. А. Лечение больных с отдаленными последствиями переломов пяточной кости: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. … канд. мед. наук / Е. А.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: – Москва, 2009. – 24 с.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>Разработка универсальной классификации прогнозирования осложнений при травме пяточной кости / В. В. Савгачев // «Современная наука: Актуальные проблемы теории и практики» серия Естественные и Технические Науки. – Москва, 2016. – № 9-10. – С. 72-76.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>Реброва, О. Ю. Статистический анализ медицинских данных. – Медиа Сфера, 2002. – 305 с.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F3C">
        <w:rPr>
          <w:rFonts w:ascii="Times New Roman" w:hAnsi="Times New Roman" w:cs="Times New Roman"/>
          <w:sz w:val="28"/>
          <w:szCs w:val="28"/>
        </w:rPr>
        <w:t xml:space="preserve">Федосов, А. П. Диагностика и лечение повреждений заднего отдела стопы у пострадавших с множественной и сочетанной травмой: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>. ... канд. мед. наук / А. П. Федосов. – М., 2008. – 142 с.</w:t>
      </w:r>
    </w:p>
    <w:p w:rsid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F3C">
        <w:rPr>
          <w:rFonts w:ascii="Times New Roman" w:hAnsi="Times New Roman" w:cs="Times New Roman"/>
          <w:sz w:val="28"/>
          <w:szCs w:val="28"/>
        </w:rPr>
        <w:t>Хенеган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, К. Доказательная медицина: пер. с англ. / К.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Хенеган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6C4F3C">
        <w:rPr>
          <w:rFonts w:ascii="Times New Roman" w:hAnsi="Times New Roman" w:cs="Times New Roman"/>
          <w:sz w:val="28"/>
          <w:szCs w:val="28"/>
        </w:rPr>
        <w:t>Баденоч</w:t>
      </w:r>
      <w:proofErr w:type="spellEnd"/>
      <w:r w:rsidRPr="006C4F3C">
        <w:rPr>
          <w:rFonts w:ascii="Times New Roman" w:hAnsi="Times New Roman" w:cs="Times New Roman"/>
          <w:sz w:val="28"/>
          <w:szCs w:val="28"/>
        </w:rPr>
        <w:t xml:space="preserve"> // под ред. пер. В. И. Петров. – М.: ГЭОТАР-Медиа, 2011. –144 с.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Kavin</w:t>
      </w:r>
      <w:proofErr w:type="spellEnd"/>
      <w:r w:rsidRPr="006C4F3C">
        <w:rPr>
          <w:rFonts w:ascii="Times New Roman" w:hAnsi="Times New Roman" w:cs="Times New Roman"/>
          <w:sz w:val="28"/>
          <w:szCs w:val="28"/>
          <w:lang w:val="en-US"/>
        </w:rPr>
        <w:t xml:space="preserve">, K. Patient satisfaction after open reduction and internal fixation through lateral extensile approach in displaced intraarticular calcaneal fractures (Sander's type II and III) / K. </w:t>
      </w: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Kavin</w:t>
      </w:r>
      <w:proofErr w:type="spellEnd"/>
      <w:r w:rsidRPr="006C4F3C">
        <w:rPr>
          <w:rFonts w:ascii="Times New Roman" w:hAnsi="Times New Roman" w:cs="Times New Roman"/>
          <w:sz w:val="28"/>
          <w:szCs w:val="28"/>
          <w:lang w:val="en-US"/>
        </w:rPr>
        <w:t xml:space="preserve">, S. Vijay, L. </w:t>
      </w: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Devendra</w:t>
      </w:r>
      <w:proofErr w:type="spellEnd"/>
      <w:r w:rsidRPr="006C4F3C">
        <w:rPr>
          <w:rFonts w:ascii="Times New Roman" w:hAnsi="Times New Roman" w:cs="Times New Roman"/>
          <w:sz w:val="28"/>
          <w:szCs w:val="28"/>
          <w:lang w:val="en-US"/>
        </w:rPr>
        <w:t xml:space="preserve"> // J. </w:t>
      </w: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6C4F3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C4F3C">
        <w:rPr>
          <w:rFonts w:ascii="Times New Roman" w:hAnsi="Times New Roman" w:cs="Times New Roman"/>
          <w:sz w:val="28"/>
          <w:szCs w:val="28"/>
          <w:lang w:val="en-US"/>
        </w:rPr>
        <w:t>Orthop.Trauma</w:t>
      </w:r>
      <w:proofErr w:type="spellEnd"/>
      <w:r w:rsidRPr="006C4F3C">
        <w:rPr>
          <w:rFonts w:ascii="Times New Roman" w:hAnsi="Times New Roman" w:cs="Times New Roman"/>
          <w:sz w:val="28"/>
          <w:szCs w:val="28"/>
          <w:lang w:val="en-US"/>
        </w:rPr>
        <w:t>. – 2016. – Vol. 7 (4). – P. 296-301.</w:t>
      </w:r>
    </w:p>
    <w:p w:rsidR="006C4F3C" w:rsidRPr="006C4F3C" w:rsidRDefault="006C4F3C" w:rsidP="006C4F3C">
      <w:pPr>
        <w:pStyle w:val="a4"/>
        <w:numPr>
          <w:ilvl w:val="0"/>
          <w:numId w:val="6"/>
        </w:numPr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F3C">
        <w:rPr>
          <w:rFonts w:ascii="Times New Roman" w:hAnsi="Times New Roman" w:cs="Times New Roman"/>
          <w:sz w:val="28"/>
          <w:szCs w:val="28"/>
          <w:lang w:val="en-US"/>
        </w:rPr>
        <w:t>Wu, K. Regression analysis of controllable factors of surgical incision complications in closed calcaneal fractures / K. Wu, C. Wang, Q. H. Li Wang // J. Res. Med. Sci. – 2014. – Vol. 19 (6). – P. 495-501.</w:t>
      </w:r>
      <w:bookmarkEnd w:id="2"/>
    </w:p>
    <w:sectPr w:rsidR="006C4F3C" w:rsidRPr="006C4F3C" w:rsidSect="006C4F3C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70" w:rsidRDefault="007A1970" w:rsidP="00345119">
      <w:pPr>
        <w:spacing w:after="0" w:line="240" w:lineRule="auto"/>
      </w:pPr>
      <w:r>
        <w:separator/>
      </w:r>
    </w:p>
  </w:endnote>
  <w:endnote w:type="continuationSeparator" w:id="0">
    <w:p w:rsidR="007A1970" w:rsidRDefault="007A1970" w:rsidP="0034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70" w:rsidRDefault="007A1970" w:rsidP="00345119">
      <w:pPr>
        <w:spacing w:after="0" w:line="240" w:lineRule="auto"/>
      </w:pPr>
      <w:r>
        <w:separator/>
      </w:r>
    </w:p>
  </w:footnote>
  <w:footnote w:type="continuationSeparator" w:id="0">
    <w:p w:rsidR="007A1970" w:rsidRDefault="007A1970" w:rsidP="0034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554116"/>
      <w:docPartObj>
        <w:docPartGallery w:val="Page Numbers (Top of Page)"/>
        <w:docPartUnique/>
      </w:docPartObj>
    </w:sdtPr>
    <w:sdtEndPr/>
    <w:sdtContent>
      <w:p w:rsidR="00345119" w:rsidRDefault="003451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A9">
          <w:rPr>
            <w:noProof/>
          </w:rPr>
          <w:t>8</w:t>
        </w:r>
        <w:r>
          <w:fldChar w:fldCharType="end"/>
        </w:r>
      </w:p>
    </w:sdtContent>
  </w:sdt>
  <w:p w:rsidR="00345119" w:rsidRDefault="003451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89B"/>
    <w:multiLevelType w:val="hybridMultilevel"/>
    <w:tmpl w:val="EC46C0C6"/>
    <w:lvl w:ilvl="0" w:tplc="0BBA26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4195C"/>
    <w:multiLevelType w:val="hybridMultilevel"/>
    <w:tmpl w:val="161A5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AC61FD6"/>
    <w:multiLevelType w:val="hybridMultilevel"/>
    <w:tmpl w:val="FD6C9AAC"/>
    <w:lvl w:ilvl="0" w:tplc="15941F3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440B92"/>
    <w:multiLevelType w:val="hybridMultilevel"/>
    <w:tmpl w:val="62663E8C"/>
    <w:lvl w:ilvl="0" w:tplc="14404C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56C6E"/>
    <w:multiLevelType w:val="hybridMultilevel"/>
    <w:tmpl w:val="1F6CDECE"/>
    <w:lvl w:ilvl="0" w:tplc="28B40C6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B70549"/>
    <w:multiLevelType w:val="hybridMultilevel"/>
    <w:tmpl w:val="54EA2D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A12971"/>
    <w:multiLevelType w:val="multilevel"/>
    <w:tmpl w:val="2AE0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77359"/>
    <w:multiLevelType w:val="hybridMultilevel"/>
    <w:tmpl w:val="F3A81894"/>
    <w:lvl w:ilvl="0" w:tplc="15941F3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4B3DBB"/>
    <w:multiLevelType w:val="hybridMultilevel"/>
    <w:tmpl w:val="DEA62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65"/>
    <w:rsid w:val="00017999"/>
    <w:rsid w:val="00026F54"/>
    <w:rsid w:val="000331AF"/>
    <w:rsid w:val="00041011"/>
    <w:rsid w:val="00072048"/>
    <w:rsid w:val="0008308A"/>
    <w:rsid w:val="00084D37"/>
    <w:rsid w:val="000C1DE5"/>
    <w:rsid w:val="000C2676"/>
    <w:rsid w:val="000D62E8"/>
    <w:rsid w:val="000E5CAA"/>
    <w:rsid w:val="000F18E1"/>
    <w:rsid w:val="000F20A6"/>
    <w:rsid w:val="00101802"/>
    <w:rsid w:val="00101E66"/>
    <w:rsid w:val="0012453A"/>
    <w:rsid w:val="00125B00"/>
    <w:rsid w:val="00151418"/>
    <w:rsid w:val="0017000C"/>
    <w:rsid w:val="001868A3"/>
    <w:rsid w:val="001963A6"/>
    <w:rsid w:val="001978A0"/>
    <w:rsid w:val="001C0952"/>
    <w:rsid w:val="001C3BCC"/>
    <w:rsid w:val="001D260D"/>
    <w:rsid w:val="001E31BF"/>
    <w:rsid w:val="001F3AEC"/>
    <w:rsid w:val="00202994"/>
    <w:rsid w:val="00203E65"/>
    <w:rsid w:val="00212D84"/>
    <w:rsid w:val="002201F1"/>
    <w:rsid w:val="00223AE3"/>
    <w:rsid w:val="00235376"/>
    <w:rsid w:val="00271682"/>
    <w:rsid w:val="00273E89"/>
    <w:rsid w:val="00275C44"/>
    <w:rsid w:val="002A0227"/>
    <w:rsid w:val="002A539E"/>
    <w:rsid w:val="002A63FD"/>
    <w:rsid w:val="002C0E74"/>
    <w:rsid w:val="002D0D2B"/>
    <w:rsid w:val="002E1D4B"/>
    <w:rsid w:val="002F765C"/>
    <w:rsid w:val="002F7E22"/>
    <w:rsid w:val="003026F4"/>
    <w:rsid w:val="00316B5A"/>
    <w:rsid w:val="00345119"/>
    <w:rsid w:val="003772BF"/>
    <w:rsid w:val="003802A8"/>
    <w:rsid w:val="003811A8"/>
    <w:rsid w:val="00382363"/>
    <w:rsid w:val="00393105"/>
    <w:rsid w:val="003A3F61"/>
    <w:rsid w:val="003A5612"/>
    <w:rsid w:val="003B60B2"/>
    <w:rsid w:val="003B6E8B"/>
    <w:rsid w:val="003C4417"/>
    <w:rsid w:val="003E5276"/>
    <w:rsid w:val="003F61B8"/>
    <w:rsid w:val="003F78CB"/>
    <w:rsid w:val="00417A85"/>
    <w:rsid w:val="00425330"/>
    <w:rsid w:val="004305B6"/>
    <w:rsid w:val="00431EC0"/>
    <w:rsid w:val="00432C68"/>
    <w:rsid w:val="004349A2"/>
    <w:rsid w:val="004631C6"/>
    <w:rsid w:val="00464D5D"/>
    <w:rsid w:val="0046586E"/>
    <w:rsid w:val="00476F48"/>
    <w:rsid w:val="004816EA"/>
    <w:rsid w:val="00482B2C"/>
    <w:rsid w:val="00483E94"/>
    <w:rsid w:val="004D0C41"/>
    <w:rsid w:val="004E6FEA"/>
    <w:rsid w:val="004F45D5"/>
    <w:rsid w:val="0050218E"/>
    <w:rsid w:val="00507F19"/>
    <w:rsid w:val="00514734"/>
    <w:rsid w:val="005720B1"/>
    <w:rsid w:val="005750CB"/>
    <w:rsid w:val="005A46AE"/>
    <w:rsid w:val="005A5643"/>
    <w:rsid w:val="005B6C35"/>
    <w:rsid w:val="005E0EB5"/>
    <w:rsid w:val="005E30D6"/>
    <w:rsid w:val="005E4DB3"/>
    <w:rsid w:val="005F2810"/>
    <w:rsid w:val="006041E2"/>
    <w:rsid w:val="006250BE"/>
    <w:rsid w:val="006476CA"/>
    <w:rsid w:val="00652B8E"/>
    <w:rsid w:val="00655EF2"/>
    <w:rsid w:val="00680102"/>
    <w:rsid w:val="006900FB"/>
    <w:rsid w:val="00691C9F"/>
    <w:rsid w:val="006B1B29"/>
    <w:rsid w:val="006B2875"/>
    <w:rsid w:val="006C4F3C"/>
    <w:rsid w:val="006D3592"/>
    <w:rsid w:val="006D750A"/>
    <w:rsid w:val="006E0D32"/>
    <w:rsid w:val="006E68DD"/>
    <w:rsid w:val="006F744D"/>
    <w:rsid w:val="0070343D"/>
    <w:rsid w:val="0071663A"/>
    <w:rsid w:val="00717A0F"/>
    <w:rsid w:val="007219DF"/>
    <w:rsid w:val="007231C2"/>
    <w:rsid w:val="00724119"/>
    <w:rsid w:val="00724A25"/>
    <w:rsid w:val="0072647A"/>
    <w:rsid w:val="007267A7"/>
    <w:rsid w:val="0073154A"/>
    <w:rsid w:val="00782525"/>
    <w:rsid w:val="007A1970"/>
    <w:rsid w:val="007B2E70"/>
    <w:rsid w:val="007E264B"/>
    <w:rsid w:val="007E2DF5"/>
    <w:rsid w:val="007E2FB4"/>
    <w:rsid w:val="007E521B"/>
    <w:rsid w:val="007E5EFB"/>
    <w:rsid w:val="007F1888"/>
    <w:rsid w:val="008152CE"/>
    <w:rsid w:val="008200D4"/>
    <w:rsid w:val="00823403"/>
    <w:rsid w:val="00825C36"/>
    <w:rsid w:val="00825DAE"/>
    <w:rsid w:val="00837E6F"/>
    <w:rsid w:val="008431D5"/>
    <w:rsid w:val="008477C7"/>
    <w:rsid w:val="008512A0"/>
    <w:rsid w:val="00870165"/>
    <w:rsid w:val="00870A03"/>
    <w:rsid w:val="00886EBE"/>
    <w:rsid w:val="008A7803"/>
    <w:rsid w:val="008B7EC7"/>
    <w:rsid w:val="008C4795"/>
    <w:rsid w:val="008C49BE"/>
    <w:rsid w:val="008D0B25"/>
    <w:rsid w:val="008D0C14"/>
    <w:rsid w:val="008D2C19"/>
    <w:rsid w:val="00902EC2"/>
    <w:rsid w:val="00910E19"/>
    <w:rsid w:val="009157DC"/>
    <w:rsid w:val="00917891"/>
    <w:rsid w:val="00931F26"/>
    <w:rsid w:val="00950681"/>
    <w:rsid w:val="00952574"/>
    <w:rsid w:val="00954EBA"/>
    <w:rsid w:val="00956EAC"/>
    <w:rsid w:val="009573E9"/>
    <w:rsid w:val="00977677"/>
    <w:rsid w:val="00987D94"/>
    <w:rsid w:val="009B0189"/>
    <w:rsid w:val="009B0F3D"/>
    <w:rsid w:val="009B120A"/>
    <w:rsid w:val="009B4C36"/>
    <w:rsid w:val="00A04CC8"/>
    <w:rsid w:val="00A06DB6"/>
    <w:rsid w:val="00A43406"/>
    <w:rsid w:val="00A47F8B"/>
    <w:rsid w:val="00A9757C"/>
    <w:rsid w:val="00AD4E9B"/>
    <w:rsid w:val="00AF5C70"/>
    <w:rsid w:val="00B02F34"/>
    <w:rsid w:val="00B1105A"/>
    <w:rsid w:val="00B14FC3"/>
    <w:rsid w:val="00B21E3A"/>
    <w:rsid w:val="00B23A21"/>
    <w:rsid w:val="00B26A86"/>
    <w:rsid w:val="00B27B81"/>
    <w:rsid w:val="00B35ACF"/>
    <w:rsid w:val="00B36775"/>
    <w:rsid w:val="00B42CF5"/>
    <w:rsid w:val="00B626F5"/>
    <w:rsid w:val="00B700E4"/>
    <w:rsid w:val="00B741FE"/>
    <w:rsid w:val="00B8770A"/>
    <w:rsid w:val="00B92A6A"/>
    <w:rsid w:val="00BA69DA"/>
    <w:rsid w:val="00BC22A9"/>
    <w:rsid w:val="00BC7035"/>
    <w:rsid w:val="00C03A04"/>
    <w:rsid w:val="00C142D1"/>
    <w:rsid w:val="00C20F3D"/>
    <w:rsid w:val="00C44205"/>
    <w:rsid w:val="00C56693"/>
    <w:rsid w:val="00C56AE6"/>
    <w:rsid w:val="00C614A3"/>
    <w:rsid w:val="00C71298"/>
    <w:rsid w:val="00CB27B3"/>
    <w:rsid w:val="00CC25A3"/>
    <w:rsid w:val="00CD0F8F"/>
    <w:rsid w:val="00CE5B6E"/>
    <w:rsid w:val="00CF0598"/>
    <w:rsid w:val="00CF1305"/>
    <w:rsid w:val="00CF6218"/>
    <w:rsid w:val="00D130FB"/>
    <w:rsid w:val="00D15731"/>
    <w:rsid w:val="00D16417"/>
    <w:rsid w:val="00D533F2"/>
    <w:rsid w:val="00D55E6E"/>
    <w:rsid w:val="00D657E3"/>
    <w:rsid w:val="00D67BA7"/>
    <w:rsid w:val="00D7571C"/>
    <w:rsid w:val="00D91919"/>
    <w:rsid w:val="00DA370B"/>
    <w:rsid w:val="00DC4FAD"/>
    <w:rsid w:val="00DE0C5F"/>
    <w:rsid w:val="00DE2954"/>
    <w:rsid w:val="00DE3B76"/>
    <w:rsid w:val="00E54BFB"/>
    <w:rsid w:val="00E60F44"/>
    <w:rsid w:val="00E677D4"/>
    <w:rsid w:val="00E81E5A"/>
    <w:rsid w:val="00E90165"/>
    <w:rsid w:val="00E93900"/>
    <w:rsid w:val="00EA54E4"/>
    <w:rsid w:val="00EA6098"/>
    <w:rsid w:val="00EA706F"/>
    <w:rsid w:val="00EB63BD"/>
    <w:rsid w:val="00EB72E5"/>
    <w:rsid w:val="00EB7410"/>
    <w:rsid w:val="00EC48BD"/>
    <w:rsid w:val="00F071B6"/>
    <w:rsid w:val="00F16B67"/>
    <w:rsid w:val="00F17243"/>
    <w:rsid w:val="00F26E3F"/>
    <w:rsid w:val="00F311EA"/>
    <w:rsid w:val="00F3791F"/>
    <w:rsid w:val="00F53645"/>
    <w:rsid w:val="00F65BEC"/>
    <w:rsid w:val="00F7386D"/>
    <w:rsid w:val="00F846A3"/>
    <w:rsid w:val="00F86754"/>
    <w:rsid w:val="00F948B9"/>
    <w:rsid w:val="00FB4AD8"/>
    <w:rsid w:val="00FD6BF6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426E"/>
  <w15:chartTrackingRefBased/>
  <w15:docId w15:val="{D734BB6D-354A-4716-AD8F-A5274929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F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84D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119"/>
  </w:style>
  <w:style w:type="paragraph" w:styleId="a7">
    <w:name w:val="footer"/>
    <w:basedOn w:val="a"/>
    <w:link w:val="a8"/>
    <w:uiPriority w:val="99"/>
    <w:unhideWhenUsed/>
    <w:rsid w:val="0034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1508</Words>
  <Characters>10274</Characters>
  <Application>Microsoft Office Word</Application>
  <DocSecurity>0</DocSecurity>
  <Lines>193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Стратегия ведения пациентов с закрытыми травмой пяточой кости</vt:lpstr>
    </vt:vector>
  </TitlesOfParts>
  <Manager/>
  <Company>ЯГМУ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ведения пациентов с закрытыми травмой пяточой кости</dc:title>
  <dc:subject>Спаси и сохрани.</dc:subject>
  <dc:creator>Савгачев В.В.</dc:creator>
  <cp:keywords>пяточная кость, осложнения, протокол</cp:keywords>
  <dc:description/>
  <cp:lastModifiedBy>Leo</cp:lastModifiedBy>
  <cp:revision>2</cp:revision>
  <dcterms:created xsi:type="dcterms:W3CDTF">2017-03-10T17:56:00Z</dcterms:created>
  <dcterms:modified xsi:type="dcterms:W3CDTF">2017-03-10T17:56:00Z</dcterms:modified>
</cp:coreProperties>
</file>