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44" w:rsidRPr="00054D3E" w:rsidRDefault="00657944" w:rsidP="00657944">
      <w:pPr>
        <w:jc w:val="both"/>
      </w:pPr>
      <w:r w:rsidRPr="00657944">
        <w:rPr>
          <w:b/>
          <w:bCs/>
          <w:color w:val="000000"/>
        </w:rPr>
        <w:t xml:space="preserve">     </w:t>
      </w:r>
      <w:r w:rsidRPr="00054D3E">
        <w:rPr>
          <w:b/>
          <w:bCs/>
          <w:color w:val="000000"/>
        </w:rPr>
        <w:t>Введение.</w:t>
      </w:r>
      <w:r>
        <w:rPr>
          <w:b/>
          <w:bCs/>
          <w:color w:val="000000"/>
        </w:rPr>
        <w:t xml:space="preserve"> Актуальность проблемы.</w:t>
      </w:r>
      <w:r w:rsidRPr="00054D3E">
        <w:rPr>
          <w:b/>
          <w:bCs/>
          <w:color w:val="000000"/>
        </w:rPr>
        <w:t xml:space="preserve"> </w:t>
      </w:r>
      <w:r>
        <w:t>Синдром жировой эмболии</w:t>
      </w:r>
      <w:r w:rsidR="00D0327E">
        <w:t xml:space="preserve"> (СЖЭ)</w:t>
      </w:r>
      <w:r>
        <w:t xml:space="preserve"> – раннее и наиболее тяжелое осложнение многих переломов костей конечностей, связанное с нарушением реологии крови,  представляет собой</w:t>
      </w:r>
      <w:r w:rsidRPr="00054D3E">
        <w:t xml:space="preserve"> феномен закупорки кровеносных сосудов</w:t>
      </w:r>
      <w:r>
        <w:t xml:space="preserve">, в первую очередь, сосудов </w:t>
      </w:r>
      <w:r w:rsidRPr="00054D3E">
        <w:t xml:space="preserve"> малого </w:t>
      </w:r>
      <w:r>
        <w:t>круга кровообращения</w:t>
      </w:r>
      <w:r w:rsidRPr="00054D3E">
        <w:t xml:space="preserve"> частицами или каплями нейтр</w:t>
      </w:r>
      <w:r>
        <w:t>ального жира. Ряд авторов рассматривают синдром жировой эмболии</w:t>
      </w:r>
      <w:r w:rsidRPr="00054D3E">
        <w:t xml:space="preserve"> в качестве сложного биодинамического процесса образования и</w:t>
      </w:r>
      <w:r>
        <w:t xml:space="preserve"> </w:t>
      </w:r>
      <w:r w:rsidRPr="00054D3E">
        <w:t>циркуляции в кровеносном русле капель жира, приводящего к</w:t>
      </w:r>
      <w:r>
        <w:t xml:space="preserve"> </w:t>
      </w:r>
      <w:r w:rsidRPr="00054D3E">
        <w:t>закупорке сосудов малого и большого круга кровообращения с последующим нарушением функций внутренних  органов</w:t>
      </w:r>
      <w:r>
        <w:t>, в первую очередь, легких и головного мозга</w:t>
      </w:r>
      <w:r w:rsidRPr="00054D3E">
        <w:t xml:space="preserve"> [1</w:t>
      </w:r>
      <w:r>
        <w:t>,2</w:t>
      </w:r>
      <w:r w:rsidRPr="00054D3E">
        <w:t xml:space="preserve">]. </w:t>
      </w:r>
    </w:p>
    <w:p w:rsidR="00657944" w:rsidRPr="00054D3E" w:rsidRDefault="00657944" w:rsidP="00657944">
      <w:pPr>
        <w:jc w:val="both"/>
        <w:rPr>
          <w:color w:val="000000"/>
        </w:rPr>
      </w:pPr>
      <w:r>
        <w:rPr>
          <w:color w:val="000000"/>
        </w:rPr>
        <w:t xml:space="preserve">     Несмотря на то, что </w:t>
      </w:r>
      <w:proofErr w:type="spellStart"/>
      <w:r>
        <w:rPr>
          <w:color w:val="000000"/>
        </w:rPr>
        <w:t>гистологически</w:t>
      </w:r>
      <w:proofErr w:type="spellEnd"/>
      <w:r>
        <w:rPr>
          <w:color w:val="000000"/>
        </w:rPr>
        <w:t xml:space="preserve"> определяемые жировые капли выявляются до 90-100% случаев у пациентов с переломами костей конечностей, клиника синдрома жировой эмболии развивается до </w:t>
      </w:r>
      <w:r w:rsidRPr="00054D3E">
        <w:rPr>
          <w:color w:val="000000"/>
        </w:rPr>
        <w:t>10 % случаев</w:t>
      </w:r>
      <w:r>
        <w:rPr>
          <w:color w:val="000000"/>
        </w:rPr>
        <w:t xml:space="preserve"> тяжелых повреждений скелета.</w:t>
      </w:r>
      <w:r w:rsidRPr="00054D3E">
        <w:t xml:space="preserve"> </w:t>
      </w:r>
      <w:r w:rsidRPr="00054D3E">
        <w:rPr>
          <w:color w:val="000000"/>
        </w:rPr>
        <w:t xml:space="preserve">От тяжелых </w:t>
      </w:r>
      <w:r>
        <w:rPr>
          <w:color w:val="000000"/>
        </w:rPr>
        <w:t xml:space="preserve">ранних </w:t>
      </w:r>
      <w:r w:rsidRPr="00054D3E">
        <w:rPr>
          <w:color w:val="000000"/>
        </w:rPr>
        <w:t xml:space="preserve">осложнений травматической болезни погибает от 15 до 20 % пострадавших с </w:t>
      </w:r>
      <w:proofErr w:type="spellStart"/>
      <w:r w:rsidRPr="00054D3E">
        <w:rPr>
          <w:color w:val="000000"/>
        </w:rPr>
        <w:t>политравмой</w:t>
      </w:r>
      <w:proofErr w:type="spellEnd"/>
      <w:r w:rsidRPr="00054D3E">
        <w:rPr>
          <w:color w:val="000000"/>
        </w:rPr>
        <w:t>, одним из таких осложнений являетс</w:t>
      </w:r>
      <w:r>
        <w:rPr>
          <w:color w:val="000000"/>
        </w:rPr>
        <w:t>я синдром жировой эмболии [3</w:t>
      </w:r>
      <w:r w:rsidRPr="00657944">
        <w:rPr>
          <w:color w:val="000000"/>
        </w:rPr>
        <w:t>,4,5]</w:t>
      </w:r>
      <w:r>
        <w:rPr>
          <w:color w:val="000000"/>
        </w:rPr>
        <w:t>.</w:t>
      </w:r>
      <w:r w:rsidRPr="00054D3E">
        <w:rPr>
          <w:color w:val="000000"/>
        </w:rPr>
        <w:t xml:space="preserve"> </w:t>
      </w:r>
    </w:p>
    <w:p w:rsidR="00657944" w:rsidRPr="00054D3E" w:rsidRDefault="00657944" w:rsidP="00657944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Pr="00054D3E">
        <w:rPr>
          <w:b/>
          <w:bCs/>
          <w:color w:val="000000"/>
        </w:rPr>
        <w:t>Клиника и диагностика СЖЭ.</w:t>
      </w:r>
      <w:r w:rsidRPr="00054D3E">
        <w:rPr>
          <w:color w:val="000000"/>
        </w:rPr>
        <w:t xml:space="preserve"> В основе клинической картины синдром лежит  остро развивающаяся кислородная недостаточность и дисфункция </w:t>
      </w:r>
      <w:proofErr w:type="spellStart"/>
      <w:proofErr w:type="gramStart"/>
      <w:r w:rsidRPr="00054D3E">
        <w:rPr>
          <w:color w:val="000000"/>
        </w:rPr>
        <w:t>сердечно-сосудистой</w:t>
      </w:r>
      <w:proofErr w:type="spellEnd"/>
      <w:proofErr w:type="gramEnd"/>
      <w:r w:rsidRPr="00054D3E">
        <w:rPr>
          <w:color w:val="000000"/>
        </w:rPr>
        <w:t xml:space="preserve"> системы.</w:t>
      </w:r>
      <w:r w:rsidR="00A57EE9">
        <w:rPr>
          <w:color w:val="000000"/>
        </w:rPr>
        <w:t xml:space="preserve"> </w:t>
      </w:r>
      <w:r w:rsidRPr="00054D3E">
        <w:rPr>
          <w:color w:val="000000"/>
        </w:rPr>
        <w:t xml:space="preserve">К классическим симптомам </w:t>
      </w:r>
      <w:r>
        <w:rPr>
          <w:color w:val="000000"/>
        </w:rPr>
        <w:t>С</w:t>
      </w:r>
      <w:r w:rsidRPr="00054D3E">
        <w:rPr>
          <w:color w:val="000000"/>
        </w:rPr>
        <w:t xml:space="preserve">ЖЭ многие авторы относят </w:t>
      </w:r>
      <w:proofErr w:type="spellStart"/>
      <w:r w:rsidRPr="00054D3E">
        <w:rPr>
          <w:color w:val="000000"/>
        </w:rPr>
        <w:t>петехиальные</w:t>
      </w:r>
      <w:proofErr w:type="spellEnd"/>
      <w:r w:rsidRPr="00054D3E">
        <w:rPr>
          <w:color w:val="000000"/>
        </w:rPr>
        <w:t xml:space="preserve"> высыпания на конъюнктиве глаз и на коже. Они обнаруживаются в 20-83 % наблюдений и появляются на 1-2-й день после травмы, отмечаются в теч</w:t>
      </w:r>
      <w:r>
        <w:rPr>
          <w:color w:val="000000"/>
        </w:rPr>
        <w:t>ение от  4-48 ч до 7 суток.</w:t>
      </w:r>
      <w:r w:rsidRPr="00054D3E">
        <w:rPr>
          <w:color w:val="000000"/>
        </w:rPr>
        <w:t xml:space="preserve">  </w:t>
      </w:r>
    </w:p>
    <w:p w:rsidR="00657944" w:rsidRDefault="005328FC" w:rsidP="00657944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="00657944" w:rsidRPr="00054D3E">
        <w:rPr>
          <w:color w:val="000000"/>
        </w:rPr>
        <w:t>Одним из ведущих признаков синдрома жировой эмболии является нарастающая гипоксия. В связи с этим важными неспецифическими диагностическими тестами синдрома жировой эмболии являются рО</w:t>
      </w:r>
      <w:proofErr w:type="gramStart"/>
      <w:r w:rsidR="00657944" w:rsidRPr="00054D3E">
        <w:rPr>
          <w:color w:val="000000"/>
          <w:vertAlign w:val="subscript"/>
        </w:rPr>
        <w:t>2</w:t>
      </w:r>
      <w:proofErr w:type="gramEnd"/>
      <w:r w:rsidR="00657944" w:rsidRPr="00054D3E">
        <w:rPr>
          <w:color w:val="000000"/>
        </w:rPr>
        <w:t xml:space="preserve"> и </w:t>
      </w:r>
      <w:proofErr w:type="spellStart"/>
      <w:r w:rsidR="00657944" w:rsidRPr="00054D3E">
        <w:rPr>
          <w:color w:val="000000"/>
        </w:rPr>
        <w:t>Sa</w:t>
      </w:r>
      <w:proofErr w:type="spellEnd"/>
      <w:r w:rsidR="00657944" w:rsidRPr="00054D3E">
        <w:rPr>
          <w:color w:val="000000"/>
        </w:rPr>
        <w:t xml:space="preserve"> О</w:t>
      </w:r>
      <w:r w:rsidR="00657944" w:rsidRPr="00054D3E">
        <w:rPr>
          <w:color w:val="000000"/>
          <w:vertAlign w:val="subscript"/>
        </w:rPr>
        <w:t>2</w:t>
      </w:r>
      <w:r w:rsidR="00657944" w:rsidRPr="00054D3E">
        <w:rPr>
          <w:color w:val="000000"/>
        </w:rPr>
        <w:t xml:space="preserve"> крови, снижение которых предваряет клинические проявления повреждения легких, этот признак отмечается в 96 % случаев при СЖЭ. </w:t>
      </w:r>
    </w:p>
    <w:p w:rsidR="00657944" w:rsidRPr="00D831BA" w:rsidRDefault="00657944" w:rsidP="00657944">
      <w:pPr>
        <w:jc w:val="both"/>
        <w:rPr>
          <w:i/>
          <w:iCs/>
          <w:color w:val="000000"/>
        </w:rPr>
      </w:pPr>
      <w:r>
        <w:rPr>
          <w:color w:val="000000"/>
        </w:rPr>
        <w:t xml:space="preserve">     </w:t>
      </w:r>
      <w:r w:rsidRPr="00054D3E">
        <w:rPr>
          <w:color w:val="000000"/>
        </w:rPr>
        <w:t xml:space="preserve">Оценка свертывающей системы у больных и пострадавших, как правило, показывает уменьшение времени свертывания крови, повышение уровня протромбина,  увеличение </w:t>
      </w:r>
      <w:proofErr w:type="spellStart"/>
      <w:r w:rsidRPr="00054D3E">
        <w:rPr>
          <w:color w:val="000000"/>
        </w:rPr>
        <w:t>тромбопластинового</w:t>
      </w:r>
      <w:proofErr w:type="spellEnd"/>
      <w:r w:rsidRPr="00054D3E">
        <w:rPr>
          <w:color w:val="000000"/>
        </w:rPr>
        <w:t xml:space="preserve"> времени, снижение времени </w:t>
      </w:r>
      <w:proofErr w:type="spellStart"/>
      <w:r w:rsidRPr="00054D3E">
        <w:rPr>
          <w:color w:val="000000"/>
        </w:rPr>
        <w:t>рекальцификации</w:t>
      </w:r>
      <w:proofErr w:type="spellEnd"/>
      <w:r w:rsidRPr="00054D3E">
        <w:rPr>
          <w:color w:val="000000"/>
        </w:rPr>
        <w:t xml:space="preserve"> плазмы, увеличение концентрации фибриногена, увеличение уровня продуктов деградации фибрина за счет активации каскада </w:t>
      </w:r>
      <w:proofErr w:type="spellStart"/>
      <w:r w:rsidRPr="00054D3E">
        <w:rPr>
          <w:color w:val="000000"/>
        </w:rPr>
        <w:t>гиперкоагуляции</w:t>
      </w:r>
      <w:proofErr w:type="spellEnd"/>
      <w:r w:rsidRPr="00054D3E">
        <w:rPr>
          <w:color w:val="000000"/>
        </w:rPr>
        <w:t xml:space="preserve"> </w:t>
      </w:r>
      <w:proofErr w:type="spellStart"/>
      <w:r w:rsidRPr="00054D3E">
        <w:rPr>
          <w:color w:val="000000"/>
        </w:rPr>
        <w:t>тромбопластином</w:t>
      </w:r>
      <w:proofErr w:type="spellEnd"/>
      <w:r w:rsidRPr="00054D3E">
        <w:rPr>
          <w:color w:val="000000"/>
        </w:rPr>
        <w:t xml:space="preserve">, </w:t>
      </w:r>
      <w:proofErr w:type="gramStart"/>
      <w:r w:rsidRPr="00054D3E">
        <w:rPr>
          <w:color w:val="000000"/>
        </w:rPr>
        <w:t>содержащимся</w:t>
      </w:r>
      <w:proofErr w:type="gramEnd"/>
      <w:r w:rsidRPr="00054D3E">
        <w:rPr>
          <w:color w:val="000000"/>
        </w:rPr>
        <w:t xml:space="preserve"> в тканях и костном мозге. </w:t>
      </w:r>
    </w:p>
    <w:p w:rsidR="00657944" w:rsidRPr="00054D3E" w:rsidRDefault="00657944" w:rsidP="006579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Pr="00054D3E">
        <w:rPr>
          <w:color w:val="000000"/>
        </w:rPr>
        <w:t>В настоящее время считается, что уровень ИЛ-6 является чувствительным  показателем повреждения тканей.  ИЛ-6 является воспалительным маркеро</w:t>
      </w:r>
      <w:r>
        <w:rPr>
          <w:color w:val="000000"/>
        </w:rPr>
        <w:t>м</w:t>
      </w:r>
      <w:r w:rsidRPr="00054D3E">
        <w:rPr>
          <w:color w:val="000000"/>
        </w:rPr>
        <w:t xml:space="preserve">, продукция которого  повышается в ранней фазе острого воспалительного ответа, что может способствовать раннему выявлению и лечению </w:t>
      </w:r>
      <w:r>
        <w:rPr>
          <w:color w:val="000000"/>
        </w:rPr>
        <w:t xml:space="preserve">синдрома </w:t>
      </w:r>
      <w:r w:rsidRPr="00054D3E">
        <w:rPr>
          <w:color w:val="000000"/>
        </w:rPr>
        <w:t>жировой эмболии [</w:t>
      </w:r>
      <w:r>
        <w:rPr>
          <w:color w:val="000000"/>
        </w:rPr>
        <w:t>6</w:t>
      </w:r>
      <w:r w:rsidRPr="00054D3E">
        <w:rPr>
          <w:color w:val="000000"/>
        </w:rPr>
        <w:t xml:space="preserve">]. </w:t>
      </w:r>
    </w:p>
    <w:p w:rsidR="00657944" w:rsidRPr="002A70A4" w:rsidRDefault="00657944" w:rsidP="00657944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     </w:t>
      </w:r>
      <w:proofErr w:type="spellStart"/>
      <w:r w:rsidRPr="002A70A4">
        <w:rPr>
          <w:b w:val="0"/>
          <w:bCs w:val="0"/>
          <w:lang w:val="en-US"/>
        </w:rPr>
        <w:t>Prakash</w:t>
      </w:r>
      <w:proofErr w:type="spellEnd"/>
      <w:r w:rsidRPr="002A70A4">
        <w:rPr>
          <w:b w:val="0"/>
          <w:bCs w:val="0"/>
        </w:rPr>
        <w:t xml:space="preserve"> </w:t>
      </w:r>
      <w:r w:rsidRPr="002A70A4">
        <w:rPr>
          <w:b w:val="0"/>
          <w:bCs w:val="0"/>
          <w:lang w:val="en-US"/>
        </w:rPr>
        <w:t>S</w:t>
      </w:r>
      <w:r w:rsidRPr="002A70A4">
        <w:rPr>
          <w:b w:val="0"/>
          <w:bCs w:val="0"/>
        </w:rPr>
        <w:t>. е</w:t>
      </w:r>
      <w:r w:rsidRPr="002A70A4">
        <w:rPr>
          <w:b w:val="0"/>
          <w:bCs w:val="0"/>
          <w:lang w:val="en-US"/>
        </w:rPr>
        <w:t>t</w:t>
      </w:r>
      <w:r w:rsidRPr="002A70A4">
        <w:rPr>
          <w:b w:val="0"/>
          <w:bCs w:val="0"/>
        </w:rPr>
        <w:t xml:space="preserve"> </w:t>
      </w:r>
      <w:r w:rsidRPr="002A70A4">
        <w:rPr>
          <w:b w:val="0"/>
          <w:bCs w:val="0"/>
          <w:lang w:val="en-US"/>
        </w:rPr>
        <w:t>all</w:t>
      </w:r>
      <w:r w:rsidRPr="002A70A4">
        <w:rPr>
          <w:b w:val="0"/>
          <w:bCs w:val="0"/>
        </w:rPr>
        <w:t xml:space="preserve"> (2013) в проведенных исслед</w:t>
      </w:r>
      <w:r w:rsidR="00DB6F72">
        <w:rPr>
          <w:b w:val="0"/>
          <w:bCs w:val="0"/>
        </w:rPr>
        <w:t>ованиях показали, что уровень интерлейкина</w:t>
      </w:r>
      <w:r w:rsidRPr="002A70A4">
        <w:rPr>
          <w:b w:val="0"/>
          <w:bCs w:val="0"/>
        </w:rPr>
        <w:t>-6 м</w:t>
      </w:r>
      <w:r w:rsidR="00D0327E">
        <w:rPr>
          <w:b w:val="0"/>
          <w:bCs w:val="0"/>
        </w:rPr>
        <w:t xml:space="preserve">ожет служить ранним маркером синдрома жировой эмболии. </w:t>
      </w:r>
      <w:r w:rsidRPr="002A70A4">
        <w:rPr>
          <w:b w:val="0"/>
          <w:bCs w:val="0"/>
        </w:rPr>
        <w:t xml:space="preserve">Было установлено, что повышение уровня ИЛ-6 через 12 ч после травмы </w:t>
      </w:r>
      <w:proofErr w:type="spellStart"/>
      <w:r w:rsidRPr="002A70A4">
        <w:rPr>
          <w:b w:val="0"/>
          <w:bCs w:val="0"/>
        </w:rPr>
        <w:t>коррелирует</w:t>
      </w:r>
      <w:proofErr w:type="spellEnd"/>
      <w:r w:rsidRPr="002A70A4">
        <w:rPr>
          <w:b w:val="0"/>
          <w:bCs w:val="0"/>
        </w:rPr>
        <w:t xml:space="preserve"> с увеличением вероятности развития СЖЭ, в то время как значимых клинических проявлений на сроках 6 и 24 ч после травмы выявлено не было. Пациенты с развившимся СЖЭ имели средний уровень ИЛ-6  131 </w:t>
      </w:r>
      <w:proofErr w:type="spellStart"/>
      <w:r w:rsidRPr="002A70A4">
        <w:rPr>
          <w:b w:val="0"/>
          <w:bCs w:val="0"/>
        </w:rPr>
        <w:t>пг</w:t>
      </w:r>
      <w:proofErr w:type="spellEnd"/>
      <w:r w:rsidRPr="002A70A4">
        <w:rPr>
          <w:b w:val="0"/>
          <w:bCs w:val="0"/>
        </w:rPr>
        <w:t xml:space="preserve">/мл, в то время как  при отсутствии признаков синдрома значение этого показателя было на уровне 72 </w:t>
      </w:r>
      <w:proofErr w:type="spellStart"/>
      <w:r w:rsidRPr="002A70A4">
        <w:rPr>
          <w:b w:val="0"/>
          <w:bCs w:val="0"/>
        </w:rPr>
        <w:t>пг</w:t>
      </w:r>
      <w:proofErr w:type="spellEnd"/>
      <w:r w:rsidRPr="002A70A4">
        <w:rPr>
          <w:b w:val="0"/>
          <w:bCs w:val="0"/>
        </w:rPr>
        <w:t xml:space="preserve">/мл. Уровень концентраций </w:t>
      </w:r>
      <w:proofErr w:type="spellStart"/>
      <w:r w:rsidRPr="002A70A4">
        <w:rPr>
          <w:b w:val="0"/>
          <w:bCs w:val="0"/>
        </w:rPr>
        <w:t>интерлейкина</w:t>
      </w:r>
      <w:proofErr w:type="spellEnd"/>
      <w:r w:rsidRPr="002A70A4">
        <w:rPr>
          <w:b w:val="0"/>
          <w:bCs w:val="0"/>
        </w:rPr>
        <w:t xml:space="preserve"> достигал максимума спустя 12 ч после</w:t>
      </w:r>
      <w:r>
        <w:rPr>
          <w:b w:val="0"/>
          <w:bCs w:val="0"/>
        </w:rPr>
        <w:t xml:space="preserve"> </w:t>
      </w:r>
      <w:r w:rsidRPr="002A70A4">
        <w:rPr>
          <w:b w:val="0"/>
          <w:bCs w:val="0"/>
        </w:rPr>
        <w:t>травмы. Исследователи считают целесообразным  определение уровня ИЛ-6 как раннего маркера СЖЭ у больных с травмами скелета</w:t>
      </w:r>
      <w:r w:rsidR="00D0327E">
        <w:rPr>
          <w:b w:val="0"/>
          <w:bCs w:val="0"/>
        </w:rPr>
        <w:t xml:space="preserve"> </w:t>
      </w:r>
      <w:r w:rsidR="00D0327E" w:rsidRPr="00D0327E">
        <w:rPr>
          <w:b w:val="0"/>
          <w:bCs w:val="0"/>
        </w:rPr>
        <w:t>[</w:t>
      </w:r>
      <w:r w:rsidR="00D0327E">
        <w:rPr>
          <w:b w:val="0"/>
          <w:bCs w:val="0"/>
        </w:rPr>
        <w:t>7</w:t>
      </w:r>
      <w:r w:rsidR="00D0327E" w:rsidRPr="00D0327E">
        <w:rPr>
          <w:b w:val="0"/>
          <w:bCs w:val="0"/>
        </w:rPr>
        <w:t>]</w:t>
      </w:r>
      <w:r w:rsidRPr="002A70A4">
        <w:rPr>
          <w:b w:val="0"/>
          <w:bCs w:val="0"/>
        </w:rPr>
        <w:t xml:space="preserve">. </w:t>
      </w:r>
    </w:p>
    <w:p w:rsidR="00657944" w:rsidRDefault="00657944" w:rsidP="00DB6F72">
      <w:pPr>
        <w:jc w:val="both"/>
        <w:rPr>
          <w:color w:val="000000"/>
        </w:rPr>
      </w:pPr>
      <w:r>
        <w:t xml:space="preserve">     </w:t>
      </w:r>
      <w:r>
        <w:rPr>
          <w:color w:val="000000"/>
        </w:rPr>
        <w:t>Проведенные иммунологические исследования показали,</w:t>
      </w:r>
      <w:r w:rsidRPr="00054D3E">
        <w:rPr>
          <w:color w:val="000000"/>
        </w:rPr>
        <w:t xml:space="preserve"> что воспалительные изменения в легких  опосредованы имму</w:t>
      </w:r>
      <w:r>
        <w:rPr>
          <w:color w:val="000000"/>
        </w:rPr>
        <w:t>нологическими нарушениями, при этом,</w:t>
      </w:r>
      <w:r w:rsidRPr="00054D3E">
        <w:rPr>
          <w:color w:val="000000"/>
        </w:rPr>
        <w:t xml:space="preserve"> жировые </w:t>
      </w:r>
      <w:proofErr w:type="spellStart"/>
      <w:r w:rsidRPr="00054D3E">
        <w:rPr>
          <w:color w:val="000000"/>
        </w:rPr>
        <w:t>эмболы</w:t>
      </w:r>
      <w:proofErr w:type="spellEnd"/>
      <w:r w:rsidRPr="00054D3E">
        <w:rPr>
          <w:color w:val="000000"/>
        </w:rPr>
        <w:t xml:space="preserve"> являютс</w:t>
      </w:r>
      <w:r>
        <w:rPr>
          <w:color w:val="000000"/>
        </w:rPr>
        <w:t>я не единственной причиной СЖЭ</w:t>
      </w:r>
      <w:r w:rsidRPr="00054D3E">
        <w:rPr>
          <w:color w:val="000000"/>
        </w:rPr>
        <w:t>. Несмотря на то, что</w:t>
      </w:r>
      <w:r>
        <w:rPr>
          <w:color w:val="000000"/>
        </w:rPr>
        <w:t xml:space="preserve"> наличие жира в сыворотке крове отмечается в подавляющем большинстве случаев переломов костей конечностей и ребер</w:t>
      </w:r>
      <w:r w:rsidRPr="00054D3E">
        <w:rPr>
          <w:color w:val="000000"/>
        </w:rPr>
        <w:t xml:space="preserve">, лишь в некоторых случаях развивается синдром жировой эмболии. Одним из возможных объяснений  этого феномена  является  продукция медиаторов воспаления. Очевидно, что ИЛ-6 участвует в регуляции  жирового обмена в тканях,  активности </w:t>
      </w:r>
      <w:proofErr w:type="spellStart"/>
      <w:r w:rsidRPr="00054D3E">
        <w:rPr>
          <w:color w:val="000000"/>
        </w:rPr>
        <w:t>липопротеидлипазы</w:t>
      </w:r>
      <w:proofErr w:type="spellEnd"/>
      <w:r w:rsidRPr="00054D3E">
        <w:rPr>
          <w:color w:val="000000"/>
        </w:rPr>
        <w:t xml:space="preserve"> и влияет на урове</w:t>
      </w:r>
      <w:r w:rsidR="00C249C8">
        <w:rPr>
          <w:color w:val="000000"/>
        </w:rPr>
        <w:t xml:space="preserve">нь  печеночных </w:t>
      </w:r>
      <w:proofErr w:type="spellStart"/>
      <w:r w:rsidR="00C249C8">
        <w:rPr>
          <w:color w:val="000000"/>
        </w:rPr>
        <w:t>триглицеридов</w:t>
      </w:r>
      <w:proofErr w:type="spellEnd"/>
      <w:r w:rsidR="00C249C8">
        <w:rPr>
          <w:color w:val="000000"/>
        </w:rPr>
        <w:t>.</w:t>
      </w:r>
      <w:r w:rsidRPr="00054D3E">
        <w:rPr>
          <w:color w:val="000000"/>
        </w:rPr>
        <w:t xml:space="preserve"> </w:t>
      </w:r>
      <w:proofErr w:type="gramStart"/>
      <w:r w:rsidRPr="00054D3E">
        <w:rPr>
          <w:color w:val="000000"/>
        </w:rPr>
        <w:lastRenderedPageBreak/>
        <w:t xml:space="preserve">Изменения транскрипции ИЛ-6 также могут  приводить к измененной реакции на жировые  </w:t>
      </w:r>
      <w:proofErr w:type="spellStart"/>
      <w:r w:rsidRPr="00054D3E">
        <w:rPr>
          <w:color w:val="000000"/>
        </w:rPr>
        <w:t>эмболы</w:t>
      </w:r>
      <w:proofErr w:type="spellEnd"/>
      <w:r w:rsidRPr="00054D3E">
        <w:rPr>
          <w:color w:val="000000"/>
        </w:rPr>
        <w:t xml:space="preserve"> в легких и  сопровождаться развитием полномасштабного синдрома жировой эмболии.</w:t>
      </w:r>
      <w:proofErr w:type="gramEnd"/>
      <w:r w:rsidRPr="00054D3E">
        <w:rPr>
          <w:color w:val="000000"/>
        </w:rPr>
        <w:t xml:space="preserve"> </w:t>
      </w:r>
      <w:r>
        <w:rPr>
          <w:color w:val="000000"/>
        </w:rPr>
        <w:t>Также п</w:t>
      </w:r>
      <w:r w:rsidRPr="00054D3E">
        <w:rPr>
          <w:color w:val="000000"/>
        </w:rPr>
        <w:t xml:space="preserve">оказано, что </w:t>
      </w:r>
      <w:proofErr w:type="spellStart"/>
      <w:r>
        <w:rPr>
          <w:color w:val="000000"/>
        </w:rPr>
        <w:t>травматичные</w:t>
      </w:r>
      <w:proofErr w:type="spellEnd"/>
      <w:r>
        <w:rPr>
          <w:color w:val="000000"/>
        </w:rPr>
        <w:t xml:space="preserve"> </w:t>
      </w:r>
      <w:r w:rsidRPr="00054D3E">
        <w:rPr>
          <w:color w:val="000000"/>
        </w:rPr>
        <w:t>ортопедические операции вызывают  увеличение конце</w:t>
      </w:r>
      <w:r w:rsidR="00DB6F72">
        <w:rPr>
          <w:color w:val="000000"/>
        </w:rPr>
        <w:t>нтрации ИЛ-6 в сыворотке крови</w:t>
      </w:r>
      <w:r w:rsidRPr="00054D3E">
        <w:rPr>
          <w:color w:val="000000"/>
        </w:rPr>
        <w:t xml:space="preserve">. </w:t>
      </w:r>
      <w:r w:rsidRPr="00054D3E">
        <w:rPr>
          <w:color w:val="000000"/>
          <w:lang w:val="en-US"/>
        </w:rPr>
        <w:t>Yoga</w:t>
      </w:r>
      <w:r w:rsidRPr="00054D3E">
        <w:rPr>
          <w:color w:val="000000"/>
        </w:rPr>
        <w:t xml:space="preserve"> </w:t>
      </w:r>
      <w:r w:rsidRPr="00054D3E">
        <w:rPr>
          <w:color w:val="000000"/>
          <w:lang w:val="en-US"/>
        </w:rPr>
        <w:t>R</w:t>
      </w:r>
      <w:r w:rsidRPr="00054D3E">
        <w:rPr>
          <w:color w:val="000000"/>
        </w:rPr>
        <w:t xml:space="preserve">. </w:t>
      </w:r>
      <w:r w:rsidRPr="00054D3E">
        <w:rPr>
          <w:color w:val="000000"/>
          <w:lang w:val="en-US"/>
        </w:rPr>
        <w:t>et</w:t>
      </w:r>
      <w:r w:rsidRPr="00054D3E">
        <w:rPr>
          <w:color w:val="000000"/>
        </w:rPr>
        <w:t xml:space="preserve"> </w:t>
      </w:r>
      <w:r w:rsidRPr="00054D3E">
        <w:rPr>
          <w:color w:val="000000"/>
          <w:lang w:val="en-US"/>
        </w:rPr>
        <w:t>a</w:t>
      </w:r>
      <w:r>
        <w:rPr>
          <w:color w:val="000000"/>
          <w:lang w:val="en-US"/>
        </w:rPr>
        <w:t>l</w:t>
      </w:r>
      <w:r w:rsidRPr="00054D3E">
        <w:rPr>
          <w:color w:val="000000"/>
          <w:lang w:val="en-US"/>
        </w:rPr>
        <w:t>l</w:t>
      </w:r>
      <w:r w:rsidRPr="00054D3E">
        <w:rPr>
          <w:color w:val="000000"/>
        </w:rPr>
        <w:t xml:space="preserve"> (2009) считают, что </w:t>
      </w:r>
      <w:proofErr w:type="spellStart"/>
      <w:r w:rsidRPr="00054D3E">
        <w:rPr>
          <w:color w:val="000000"/>
        </w:rPr>
        <w:t>эмболы</w:t>
      </w:r>
      <w:proofErr w:type="spellEnd"/>
      <w:r w:rsidRPr="00054D3E">
        <w:rPr>
          <w:color w:val="000000"/>
        </w:rPr>
        <w:t xml:space="preserve"> являются своего рода триггером, запускающим в </w:t>
      </w:r>
      <w:proofErr w:type="gramStart"/>
      <w:r w:rsidRPr="00054D3E">
        <w:rPr>
          <w:color w:val="000000"/>
        </w:rPr>
        <w:t>легких  воспалительную</w:t>
      </w:r>
      <w:proofErr w:type="gramEnd"/>
      <w:r w:rsidRPr="00054D3E">
        <w:rPr>
          <w:color w:val="000000"/>
        </w:rPr>
        <w:t xml:space="preserve"> реакцию, которая через некоторое время пр</w:t>
      </w:r>
      <w:r>
        <w:rPr>
          <w:color w:val="000000"/>
        </w:rPr>
        <w:t>иводит к повышению уровня ИЛ-6</w:t>
      </w:r>
      <w:r w:rsidR="00DB6F72">
        <w:rPr>
          <w:color w:val="000000"/>
        </w:rPr>
        <w:t xml:space="preserve"> </w:t>
      </w:r>
      <w:r w:rsidR="00DB6F72" w:rsidRPr="00DB6F72">
        <w:rPr>
          <w:color w:val="000000"/>
        </w:rPr>
        <w:t>[</w:t>
      </w:r>
      <w:r w:rsidR="00784496">
        <w:rPr>
          <w:color w:val="000000"/>
        </w:rPr>
        <w:t>7-10</w:t>
      </w:r>
      <w:r w:rsidR="00DB6F72" w:rsidRPr="00DB6F72">
        <w:rPr>
          <w:color w:val="000000"/>
        </w:rPr>
        <w:t>]</w:t>
      </w:r>
      <w:r>
        <w:rPr>
          <w:color w:val="000000"/>
        </w:rPr>
        <w:t>.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Pr="00054D3E">
        <w:rPr>
          <w:b/>
          <w:bCs/>
          <w:color w:val="000000"/>
        </w:rPr>
        <w:t>Материалы и методы</w:t>
      </w:r>
      <w:r>
        <w:rPr>
          <w:b/>
          <w:bCs/>
          <w:color w:val="000000"/>
        </w:rPr>
        <w:t xml:space="preserve"> исследования</w:t>
      </w:r>
      <w:r w:rsidRPr="00054D3E">
        <w:rPr>
          <w:b/>
          <w:bCs/>
          <w:color w:val="000000"/>
        </w:rPr>
        <w:t xml:space="preserve">. </w:t>
      </w:r>
      <w:r w:rsidRPr="00054D3E">
        <w:rPr>
          <w:color w:val="000000"/>
        </w:rPr>
        <w:t>Проведено</w:t>
      </w:r>
      <w:r>
        <w:rPr>
          <w:color w:val="000000"/>
        </w:rPr>
        <w:t xml:space="preserve"> исследование ИЛ-6 у</w:t>
      </w:r>
      <w:r w:rsidRPr="00054D3E">
        <w:rPr>
          <w:color w:val="000000"/>
        </w:rPr>
        <w:t xml:space="preserve"> 26 </w:t>
      </w:r>
      <w:r>
        <w:rPr>
          <w:color w:val="000000"/>
        </w:rPr>
        <w:t xml:space="preserve">пациентов с переломами костей нижних конечностей и таза, </w:t>
      </w:r>
      <w:r w:rsidRPr="00054D3E">
        <w:rPr>
          <w:color w:val="000000"/>
        </w:rPr>
        <w:t>поступивших по экстренным показаниям</w:t>
      </w:r>
      <w:r>
        <w:rPr>
          <w:color w:val="000000"/>
        </w:rPr>
        <w:t xml:space="preserve"> и лечившихся в отделении травматологии Республиканской клинической больнице Республики Марий Эл в 2006-2015г.г., а также 12 практически здоровых добровольцев их числа сотрудников клиники в возрасте 18-53 года.</w:t>
      </w:r>
    </w:p>
    <w:p w:rsidR="00657944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054D3E">
        <w:rPr>
          <w:color w:val="000000"/>
        </w:rPr>
        <w:t>Всем паци</w:t>
      </w:r>
      <w:r>
        <w:rPr>
          <w:color w:val="000000"/>
        </w:rPr>
        <w:t>ентам проводилось стандартное клинико-рентгенологическое</w:t>
      </w:r>
      <w:r w:rsidR="00C249C8">
        <w:rPr>
          <w:color w:val="000000"/>
        </w:rPr>
        <w:t>, а также лабораторное</w:t>
      </w:r>
      <w:r>
        <w:rPr>
          <w:color w:val="000000"/>
        </w:rPr>
        <w:t xml:space="preserve"> ис</w:t>
      </w:r>
      <w:r w:rsidRPr="00054D3E">
        <w:rPr>
          <w:color w:val="000000"/>
        </w:rPr>
        <w:t>след</w:t>
      </w:r>
      <w:r w:rsidR="00C249C8">
        <w:rPr>
          <w:color w:val="000000"/>
        </w:rPr>
        <w:t>ования</w:t>
      </w:r>
      <w:r w:rsidRPr="00054D3E">
        <w:rPr>
          <w:color w:val="000000"/>
        </w:rPr>
        <w:t xml:space="preserve">, </w:t>
      </w:r>
      <w:r>
        <w:rPr>
          <w:color w:val="000000"/>
        </w:rPr>
        <w:t>позволяю</w:t>
      </w:r>
      <w:r w:rsidR="00C249C8">
        <w:rPr>
          <w:color w:val="000000"/>
        </w:rPr>
        <w:t>щие</w:t>
      </w:r>
      <w:r w:rsidRPr="00054D3E">
        <w:rPr>
          <w:color w:val="000000"/>
        </w:rPr>
        <w:t xml:space="preserve"> </w:t>
      </w:r>
      <w:r>
        <w:rPr>
          <w:color w:val="000000"/>
        </w:rPr>
        <w:t>оценить общее состояние пациента</w:t>
      </w:r>
      <w:r w:rsidRPr="00054D3E">
        <w:rPr>
          <w:color w:val="000000"/>
        </w:rPr>
        <w:t>, выявить н</w:t>
      </w:r>
      <w:r>
        <w:rPr>
          <w:color w:val="000000"/>
        </w:rPr>
        <w:t>аличие сопутствующей патологии, а также</w:t>
      </w:r>
      <w:r w:rsidRPr="00054D3E">
        <w:rPr>
          <w:color w:val="000000"/>
        </w:rPr>
        <w:t xml:space="preserve"> признаки её декомпенсации.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Клиническая картина синдрома жировой эмболии</w:t>
      </w:r>
      <w:r w:rsidRPr="00054D3E">
        <w:rPr>
          <w:color w:val="000000"/>
        </w:rPr>
        <w:t xml:space="preserve"> развилась у 12 пациентов.</w:t>
      </w:r>
      <w:r w:rsidRPr="00054D3E">
        <w:rPr>
          <w:color w:val="FF0000"/>
        </w:rPr>
        <w:t xml:space="preserve"> </w:t>
      </w:r>
      <w:r>
        <w:rPr>
          <w:color w:val="000000"/>
        </w:rPr>
        <w:t>Из данной группы больных у 5 пациентов имели место изолированные переломы костей голени  (в 2 случаях) и в 3 случаях – бедренной кости; у 7 пациентов</w:t>
      </w:r>
      <w:r w:rsidRPr="00054D3E">
        <w:rPr>
          <w:color w:val="000000"/>
        </w:rPr>
        <w:t xml:space="preserve"> имели</w:t>
      </w:r>
      <w:r>
        <w:rPr>
          <w:color w:val="000000"/>
        </w:rPr>
        <w:t xml:space="preserve"> место</w:t>
      </w:r>
      <w:r w:rsidRPr="00054D3E">
        <w:rPr>
          <w:color w:val="000000"/>
        </w:rPr>
        <w:t xml:space="preserve"> множественные переломы</w:t>
      </w:r>
      <w:r>
        <w:rPr>
          <w:color w:val="000000"/>
        </w:rPr>
        <w:t xml:space="preserve"> костей нижних конечностей (большеберцовая, бедренная кости) и костей таза.</w:t>
      </w:r>
      <w:r w:rsidRPr="00054D3E">
        <w:rPr>
          <w:color w:val="000000"/>
        </w:rPr>
        <w:t xml:space="preserve"> </w:t>
      </w:r>
      <w:r>
        <w:rPr>
          <w:color w:val="000000"/>
        </w:rPr>
        <w:t>У 4 пострадавших с изолированными переломами костей конечностей состояние определено как  стабильное, средней тяжести.</w:t>
      </w:r>
      <w:r w:rsidRPr="00054D3E">
        <w:rPr>
          <w:color w:val="000000"/>
        </w:rPr>
        <w:t xml:space="preserve"> 8</w:t>
      </w:r>
      <w:r>
        <w:rPr>
          <w:color w:val="000000"/>
        </w:rPr>
        <w:t xml:space="preserve"> пострадавших (1 – с переломом бедренной кости и 7 – с множественными переломами)</w:t>
      </w:r>
      <w:r w:rsidRPr="00054D3E">
        <w:rPr>
          <w:color w:val="000000"/>
        </w:rPr>
        <w:t xml:space="preserve"> были </w:t>
      </w:r>
      <w:r>
        <w:rPr>
          <w:color w:val="000000"/>
        </w:rPr>
        <w:t xml:space="preserve">доставлены с места травмы в тяжелом состоянии. После проведенных противошоковых мероприятий все пострадавшие госпитализированы в отделение реанимации. </w:t>
      </w:r>
      <w:proofErr w:type="gramStart"/>
      <w:r>
        <w:rPr>
          <w:color w:val="000000"/>
        </w:rPr>
        <w:t xml:space="preserve">С учетом </w:t>
      </w:r>
      <w:r w:rsidRPr="00054D3E">
        <w:rPr>
          <w:color w:val="000000"/>
        </w:rPr>
        <w:t>обследования (рентгенография грудной клетки, осмотр глазного дна, общий анализ крови, моча на св</w:t>
      </w:r>
      <w:r>
        <w:rPr>
          <w:color w:val="000000"/>
        </w:rPr>
        <w:t xml:space="preserve">ободный жир) выявлено, что у 2 пациентов </w:t>
      </w:r>
      <w:r w:rsidRPr="00054D3E">
        <w:rPr>
          <w:color w:val="000000"/>
        </w:rPr>
        <w:t xml:space="preserve">жировая эмболия развивалась по церебральной форме, у </w:t>
      </w:r>
      <w:r>
        <w:rPr>
          <w:color w:val="000000"/>
        </w:rPr>
        <w:t>3 пациентов – по легочной, у 7</w:t>
      </w:r>
      <w:r w:rsidRPr="00054D3E">
        <w:rPr>
          <w:color w:val="000000"/>
        </w:rPr>
        <w:t xml:space="preserve"> – по </w:t>
      </w:r>
      <w:r>
        <w:rPr>
          <w:color w:val="000000"/>
        </w:rPr>
        <w:t>смешанной форме.</w:t>
      </w:r>
      <w:proofErr w:type="gramEnd"/>
      <w:r>
        <w:rPr>
          <w:color w:val="000000"/>
        </w:rPr>
        <w:t xml:space="preserve"> Летальный исход отмечен у 2  пострадавших</w:t>
      </w:r>
      <w:r w:rsidRPr="00054D3E">
        <w:rPr>
          <w:color w:val="000000"/>
        </w:rPr>
        <w:t xml:space="preserve">. </w:t>
      </w:r>
    </w:p>
    <w:p w:rsidR="00657944" w:rsidRPr="0022625A" w:rsidRDefault="00657944" w:rsidP="0065794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 xml:space="preserve">     </w:t>
      </w:r>
      <w:r w:rsidRPr="0022625A">
        <w:rPr>
          <w:b/>
          <w:bCs/>
          <w:color w:val="000000"/>
        </w:rPr>
        <w:t>Результаты исследования.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С целью объективной оценки результатов лабораторного исследования испытуемые были разделены</w:t>
      </w:r>
      <w:r w:rsidRPr="00054D3E">
        <w:rPr>
          <w:color w:val="000000"/>
        </w:rPr>
        <w:t xml:space="preserve"> на следующие группы: 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Группа I - пациенты </w:t>
      </w:r>
      <w:r w:rsidRPr="00054D3E">
        <w:rPr>
          <w:color w:val="000000"/>
        </w:rPr>
        <w:t xml:space="preserve">с переломами длинных трубчатых костей и костей таза без </w:t>
      </w:r>
      <w:r>
        <w:rPr>
          <w:color w:val="000000"/>
        </w:rPr>
        <w:t xml:space="preserve">клинически </w:t>
      </w:r>
      <w:r w:rsidRPr="00054D3E">
        <w:rPr>
          <w:color w:val="000000"/>
        </w:rPr>
        <w:t>установл</w:t>
      </w:r>
      <w:r>
        <w:rPr>
          <w:color w:val="000000"/>
        </w:rPr>
        <w:t>енного синдрома жировой эмболии</w:t>
      </w:r>
      <w:r w:rsidRPr="00054D3E">
        <w:rPr>
          <w:color w:val="000000"/>
        </w:rPr>
        <w:t xml:space="preserve"> (</w:t>
      </w:r>
      <w:r w:rsidRPr="00054D3E">
        <w:rPr>
          <w:color w:val="000000"/>
          <w:lang w:val="en-US"/>
        </w:rPr>
        <w:t>n</w:t>
      </w:r>
      <w:r w:rsidRPr="00054D3E">
        <w:rPr>
          <w:color w:val="000000"/>
        </w:rPr>
        <w:t>=14</w:t>
      </w:r>
      <w:r>
        <w:rPr>
          <w:color w:val="000000"/>
        </w:rPr>
        <w:t>.</w:t>
      </w:r>
      <w:r w:rsidRPr="00054D3E">
        <w:rPr>
          <w:color w:val="000000"/>
        </w:rPr>
        <w:t>)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054D3E">
        <w:rPr>
          <w:color w:val="000000"/>
        </w:rPr>
        <w:t>Группа II - пациенты с установленным синд</w:t>
      </w:r>
      <w:r>
        <w:rPr>
          <w:color w:val="000000"/>
        </w:rPr>
        <w:t xml:space="preserve">ромом жировой эмболии (по </w:t>
      </w:r>
      <w:proofErr w:type="spellStart"/>
      <w:r>
        <w:rPr>
          <w:color w:val="000000"/>
        </w:rPr>
        <w:t>Gurd</w:t>
      </w:r>
      <w:proofErr w:type="spellEnd"/>
      <w:r>
        <w:rPr>
          <w:color w:val="000000"/>
        </w:rPr>
        <w:t>)</w:t>
      </w:r>
      <w:r w:rsidRPr="00054D3E">
        <w:rPr>
          <w:color w:val="000000"/>
        </w:rPr>
        <w:t xml:space="preserve"> (</w:t>
      </w:r>
      <w:r w:rsidRPr="00054D3E">
        <w:rPr>
          <w:color w:val="000000"/>
          <w:lang w:val="en-US"/>
        </w:rPr>
        <w:t>n</w:t>
      </w:r>
      <w:r w:rsidRPr="00EB5833">
        <w:rPr>
          <w:color w:val="000000"/>
        </w:rPr>
        <w:t>=12</w:t>
      </w:r>
      <w:r w:rsidRPr="00054D3E">
        <w:rPr>
          <w:color w:val="000000"/>
        </w:rPr>
        <w:t>)</w:t>
      </w:r>
      <w:r>
        <w:rPr>
          <w:color w:val="000000"/>
        </w:rPr>
        <w:t>.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Группа сравнения - </w:t>
      </w:r>
      <w:r w:rsidRPr="00054D3E">
        <w:rPr>
          <w:color w:val="000000"/>
        </w:rPr>
        <w:t>12 практически здоровых добровольцев из числа сотрудников</w:t>
      </w:r>
      <w:r>
        <w:rPr>
          <w:color w:val="000000"/>
        </w:rPr>
        <w:t xml:space="preserve"> клиники в возрасте 18-53 года</w:t>
      </w:r>
      <w:r w:rsidRPr="00054D3E">
        <w:rPr>
          <w:color w:val="000000"/>
        </w:rPr>
        <w:t>.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054D3E">
        <w:rPr>
          <w:color w:val="000000"/>
        </w:rPr>
        <w:t>Группы были сравнимы по полу и возрасту, но отличались по тяжести состояния</w:t>
      </w:r>
      <w:r w:rsidRPr="00054D3E">
        <w:rPr>
          <w:color w:val="FF0000"/>
        </w:rPr>
        <w:t>.</w:t>
      </w:r>
    </w:p>
    <w:p w:rsidR="00657944" w:rsidRPr="00C9469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</w:t>
      </w:r>
      <w:r w:rsidRPr="00054D3E">
        <w:t xml:space="preserve">Материалом </w:t>
      </w:r>
      <w:r>
        <w:t xml:space="preserve">для </w:t>
      </w:r>
      <w:r w:rsidRPr="00054D3E">
        <w:t>исследований бы</w:t>
      </w:r>
      <w:r w:rsidR="002E6764">
        <w:t xml:space="preserve">ла сыворотка венозной крови. </w:t>
      </w:r>
      <w:r>
        <w:t xml:space="preserve">Определение концентрации интерлейкина-6 осуществлялось в динамике на 1, 2 и 3 сутки после травмы. </w:t>
      </w:r>
      <w:r w:rsidRPr="00054D3E">
        <w:rPr>
          <w:rFonts w:eastAsia="TimesNewRomanPSMT"/>
        </w:rPr>
        <w:t xml:space="preserve">Оценка содержания Интерлейкина-6 производилась с помощью диагностических наборов </w:t>
      </w:r>
      <w:proofErr w:type="spellStart"/>
      <w:r w:rsidRPr="00054D3E">
        <w:rPr>
          <w:rFonts w:eastAsia="TimesNewRomanPSMT"/>
        </w:rPr>
        <w:t>Human</w:t>
      </w:r>
      <w:proofErr w:type="spellEnd"/>
      <w:r w:rsidRPr="00054D3E">
        <w:rPr>
          <w:rFonts w:eastAsia="TimesNewRomanPSMT"/>
        </w:rPr>
        <w:t xml:space="preserve"> IL-6</w:t>
      </w:r>
      <w:r w:rsidRPr="00054D3E">
        <w:rPr>
          <w:b/>
          <w:bCs/>
          <w:color w:val="FFFFFF"/>
        </w:rPr>
        <w:t xml:space="preserve"> </w:t>
      </w:r>
      <w:proofErr w:type="spellStart"/>
      <w:r w:rsidRPr="00054D3E">
        <w:rPr>
          <w:rFonts w:eastAsia="TimesNewRomanPSMT"/>
        </w:rPr>
        <w:t>Bender</w:t>
      </w:r>
      <w:proofErr w:type="spellEnd"/>
      <w:r w:rsidRPr="00054D3E">
        <w:rPr>
          <w:rFonts w:eastAsia="TimesNewRomanPSMT"/>
        </w:rPr>
        <w:t xml:space="preserve"> </w:t>
      </w:r>
      <w:proofErr w:type="spellStart"/>
      <w:r w:rsidRPr="00054D3E">
        <w:rPr>
          <w:rFonts w:eastAsia="TimesNewRomanPSMT"/>
        </w:rPr>
        <w:t>MedSystems</w:t>
      </w:r>
      <w:proofErr w:type="spellEnd"/>
      <w:r w:rsidRPr="00054D3E">
        <w:rPr>
          <w:rFonts w:eastAsia="TimesNewRomanPSMT"/>
        </w:rPr>
        <w:t>.</w:t>
      </w:r>
    </w:p>
    <w:p w:rsidR="00657944" w:rsidRDefault="00657944" w:rsidP="00657944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22D70">
        <w:rPr>
          <w:b w:val="0"/>
          <w:bCs w:val="0"/>
        </w:rPr>
        <w:t xml:space="preserve">     </w:t>
      </w:r>
      <w:r w:rsidRPr="00C22D70">
        <w:rPr>
          <w:rFonts w:ascii="Times New Roman" w:hAnsi="Times New Roman" w:cs="Times New Roman"/>
          <w:b w:val="0"/>
          <w:bCs w:val="0"/>
          <w:sz w:val="24"/>
          <w:szCs w:val="24"/>
        </w:rPr>
        <w:t>В таблице 1 представлена динамика концентрации ИЛ-6 в раннем периоде после травмы.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                                                                                                                              </w:t>
      </w:r>
      <w:r>
        <w:rPr>
          <w:color w:val="000000"/>
        </w:rPr>
        <w:t>Таблица 1.</w:t>
      </w:r>
    </w:p>
    <w:p w:rsidR="00657944" w:rsidRPr="00054D3E" w:rsidRDefault="00657944" w:rsidP="00657944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  <w:r>
        <w:rPr>
          <w:rFonts w:eastAsia="TimesNewRomanPSMT"/>
        </w:rPr>
        <w:t xml:space="preserve">   </w:t>
      </w:r>
      <w:r w:rsidRPr="005103E2">
        <w:rPr>
          <w:rFonts w:eastAsia="TimesNewRomanPSMT"/>
        </w:rPr>
        <w:t>Динамика концентрации</w:t>
      </w:r>
      <w:r w:rsidRPr="005103E2">
        <w:t xml:space="preserve"> IL-6 </w:t>
      </w:r>
      <w:r w:rsidRPr="005103E2">
        <w:rPr>
          <w:rFonts w:eastAsia="TimesNewRomanPSMT"/>
        </w:rPr>
        <w:t>в раннем посттравматическом периоде</w:t>
      </w:r>
      <w:r w:rsidRPr="00054D3E">
        <w:rPr>
          <w:rFonts w:eastAsia="TimesNewRomanPSMT"/>
          <w:b/>
          <w:bCs/>
        </w:rPr>
        <w:t xml:space="preserve"> (</w:t>
      </w:r>
      <w:proofErr w:type="spellStart"/>
      <w:r w:rsidRPr="00054D3E">
        <w:rPr>
          <w:rFonts w:eastAsia="TimesNewRomanPSMT"/>
        </w:rPr>
        <w:t>пг</w:t>
      </w:r>
      <w:proofErr w:type="spellEnd"/>
      <w:r w:rsidRPr="00054D3E">
        <w:rPr>
          <w:rFonts w:eastAsia="TimesNewRomanPSMT"/>
        </w:rPr>
        <w:t xml:space="preserve">/мл) или </w:t>
      </w:r>
      <w:r w:rsidRPr="00054D3E">
        <w:t>(</w:t>
      </w:r>
      <w:proofErr w:type="spellStart"/>
      <w:r w:rsidRPr="00054D3E">
        <w:rPr>
          <w:rFonts w:eastAsia="TimesNewRomanPSMT"/>
        </w:rPr>
        <w:t>нг</w:t>
      </w:r>
      <w:proofErr w:type="spellEnd"/>
      <w:r w:rsidRPr="00054D3E">
        <w:rPr>
          <w:rFonts w:eastAsia="TimesNewRomanPSMT"/>
        </w:rPr>
        <w:t>/л)</w:t>
      </w:r>
    </w:p>
    <w:tbl>
      <w:tblPr>
        <w:tblW w:w="9617" w:type="dxa"/>
        <w:tblInd w:w="-106" w:type="dxa"/>
        <w:tblLook w:val="00A0"/>
      </w:tblPr>
      <w:tblGrid>
        <w:gridCol w:w="2365"/>
        <w:gridCol w:w="2212"/>
        <w:gridCol w:w="2520"/>
        <w:gridCol w:w="2520"/>
      </w:tblGrid>
      <w:tr w:rsidR="00657944" w:rsidRPr="00054D3E" w:rsidTr="00CC59A5">
        <w:trPr>
          <w:trHeight w:val="255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rPr>
                <w:color w:val="000000"/>
              </w:rPr>
            </w:pPr>
            <w:r>
              <w:rPr>
                <w:rFonts w:eastAsia="TimesNewRomanPSMT"/>
                <w:color w:val="000000"/>
              </w:rPr>
              <w:t>Сроки исследования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>
              <w:rPr>
                <w:rFonts w:eastAsia="Newton-Regular"/>
                <w:color w:val="000000"/>
              </w:rPr>
              <w:t xml:space="preserve">                     </w:t>
            </w:r>
            <w:r w:rsidRPr="00054D3E">
              <w:rPr>
                <w:rFonts w:eastAsia="Newton-Regular"/>
                <w:color w:val="000000"/>
              </w:rPr>
              <w:t>Концентрация</w:t>
            </w:r>
            <w:r w:rsidRPr="00054D3E">
              <w:rPr>
                <w:b/>
                <w:bCs/>
              </w:rPr>
              <w:t xml:space="preserve"> </w:t>
            </w:r>
            <w:r w:rsidRPr="00054D3E">
              <w:t>IL-6 (</w:t>
            </w:r>
            <w:proofErr w:type="spellStart"/>
            <w:r w:rsidRPr="00054D3E">
              <w:rPr>
                <w:rFonts w:eastAsia="TimesNewRomanPSMT"/>
              </w:rPr>
              <w:t>нг</w:t>
            </w:r>
            <w:proofErr w:type="spellEnd"/>
            <w:r w:rsidRPr="00054D3E">
              <w:rPr>
                <w:rFonts w:eastAsia="TimesNewRomanPSMT"/>
              </w:rPr>
              <w:t>/л)</w:t>
            </w:r>
          </w:p>
        </w:tc>
      </w:tr>
      <w:tr w:rsidR="00657944" w:rsidRPr="00054D3E" w:rsidTr="00CC59A5">
        <w:trPr>
          <w:trHeight w:val="25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Группа сравнения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 xml:space="preserve">Группа </w:t>
            </w:r>
            <w:r w:rsidRPr="00054D3E"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054D3E">
              <w:rPr>
                <w:color w:val="000000"/>
              </w:rPr>
              <w:t xml:space="preserve">Группа </w:t>
            </w:r>
            <w:r w:rsidRPr="00054D3E">
              <w:rPr>
                <w:color w:val="000000"/>
                <w:lang w:val="en-US"/>
              </w:rPr>
              <w:t>II</w:t>
            </w:r>
            <w:r w:rsidRPr="00054D3E">
              <w:rPr>
                <w:color w:val="000000"/>
              </w:rPr>
              <w:t xml:space="preserve"> (СЖЭ)</w:t>
            </w:r>
          </w:p>
        </w:tc>
      </w:tr>
      <w:tr w:rsidR="00657944" w:rsidRPr="00054D3E" w:rsidTr="00CC59A5">
        <w:trPr>
          <w:trHeight w:val="255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1 сутки</w:t>
            </w:r>
          </w:p>
        </w:tc>
        <w:tc>
          <w:tcPr>
            <w:tcW w:w="221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2,41±0,23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11,91±1,41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26,02±1,55</w:t>
            </w:r>
            <w:r w:rsidRPr="00054D3E">
              <w:rPr>
                <w:b/>
                <w:bCs/>
                <w:color w:val="000000"/>
              </w:rPr>
              <w:t>*</w:t>
            </w:r>
          </w:p>
        </w:tc>
      </w:tr>
      <w:tr w:rsidR="00657944" w:rsidRPr="00054D3E" w:rsidTr="00CC59A5">
        <w:trPr>
          <w:trHeight w:val="255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2 сутки</w:t>
            </w:r>
          </w:p>
        </w:tc>
        <w:tc>
          <w:tcPr>
            <w:tcW w:w="221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3,96±0,53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24,00±6,01</w:t>
            </w:r>
            <w:r w:rsidRPr="00054D3E">
              <w:rPr>
                <w:b/>
                <w:bCs/>
                <w:color w:val="000000"/>
              </w:rPr>
              <w:t>*</w:t>
            </w:r>
          </w:p>
        </w:tc>
      </w:tr>
      <w:tr w:rsidR="00657944" w:rsidRPr="00054D3E" w:rsidTr="00CC59A5">
        <w:trPr>
          <w:trHeight w:val="255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3 сутки</w:t>
            </w:r>
          </w:p>
        </w:tc>
        <w:tc>
          <w:tcPr>
            <w:tcW w:w="2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4,04±0,95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7944" w:rsidRPr="00054D3E" w:rsidRDefault="00657944" w:rsidP="00CC59A5">
            <w:pPr>
              <w:ind w:firstLine="567"/>
              <w:rPr>
                <w:color w:val="000000"/>
              </w:rPr>
            </w:pPr>
            <w:r w:rsidRPr="00054D3E">
              <w:rPr>
                <w:color w:val="000000"/>
              </w:rPr>
              <w:t>19,80±7,60</w:t>
            </w:r>
            <w:r w:rsidRPr="00054D3E">
              <w:rPr>
                <w:b/>
                <w:bCs/>
                <w:color w:val="000000"/>
              </w:rPr>
              <w:t>*</w:t>
            </w:r>
          </w:p>
        </w:tc>
      </w:tr>
    </w:tbl>
    <w:p w:rsidR="00657944" w:rsidRPr="00EF1099" w:rsidRDefault="00657944" w:rsidP="00657944"/>
    <w:p w:rsidR="00657944" w:rsidRPr="00054D3E" w:rsidRDefault="00657944" w:rsidP="00657944">
      <w:pPr>
        <w:autoSpaceDE w:val="0"/>
        <w:autoSpaceDN w:val="0"/>
        <w:adjustRightInd w:val="0"/>
        <w:jc w:val="both"/>
      </w:pPr>
      <w:r>
        <w:t xml:space="preserve">     Как следует</w:t>
      </w:r>
      <w:r w:rsidRPr="00054D3E">
        <w:t xml:space="preserve"> из таблицы 1, у обследованных нами пациентов с</w:t>
      </w:r>
      <w:r>
        <w:t xml:space="preserve"> клинически выявленным СЖЭ, определяется</w:t>
      </w:r>
      <w:r w:rsidRPr="00054D3E">
        <w:t xml:space="preserve"> повышен</w:t>
      </w:r>
      <w:r>
        <w:t>ный уровень ИЛ</w:t>
      </w:r>
      <w:r w:rsidRPr="00054D3E">
        <w:t xml:space="preserve">-6 по сравнению с </w:t>
      </w:r>
      <w:r>
        <w:t>пациентами в</w:t>
      </w:r>
      <w:r w:rsidRPr="00054D3E">
        <w:t xml:space="preserve"> </w:t>
      </w:r>
      <w:r w:rsidRPr="00054D3E">
        <w:rPr>
          <w:lang w:val="en-US"/>
        </w:rPr>
        <w:t>I</w:t>
      </w:r>
      <w:r>
        <w:t xml:space="preserve"> группе</w:t>
      </w:r>
      <w:r w:rsidRPr="00054D3E">
        <w:t xml:space="preserve"> в </w:t>
      </w:r>
      <w:r>
        <w:lastRenderedPageBreak/>
        <w:t>2,</w:t>
      </w:r>
      <w:r w:rsidRPr="00054D3E">
        <w:t>18 раз (</w:t>
      </w:r>
      <w:proofErr w:type="spellStart"/>
      <w:proofErr w:type="gramStart"/>
      <w:r w:rsidRPr="00054D3E">
        <w:t>р</w:t>
      </w:r>
      <w:proofErr w:type="spellEnd"/>
      <w:proofErr w:type="gramEnd"/>
      <w:r w:rsidRPr="00054D3E">
        <w:t xml:space="preserve">&lt;0,05) в 1-е сутки, в </w:t>
      </w:r>
      <w:r>
        <w:t>6,</w:t>
      </w:r>
      <w:r w:rsidRPr="00054D3E">
        <w:t>06 раз (</w:t>
      </w:r>
      <w:proofErr w:type="spellStart"/>
      <w:r w:rsidRPr="00054D3E">
        <w:t>р</w:t>
      </w:r>
      <w:proofErr w:type="spellEnd"/>
      <w:r w:rsidRPr="00054D3E">
        <w:t>&lt;0,05)  во вторые и 4,9</w:t>
      </w:r>
      <w:r>
        <w:t xml:space="preserve"> раз (</w:t>
      </w:r>
      <w:proofErr w:type="spellStart"/>
      <w:r>
        <w:t>р</w:t>
      </w:r>
      <w:proofErr w:type="spellEnd"/>
      <w:r>
        <w:t>&lt;0,05)   на</w:t>
      </w:r>
      <w:r w:rsidRPr="00054D3E">
        <w:t xml:space="preserve"> 3-и сутки </w:t>
      </w:r>
      <w:r>
        <w:t>в раннем посттравматическом периоде</w:t>
      </w:r>
      <w:r w:rsidRPr="00054D3E">
        <w:t xml:space="preserve">.  </w:t>
      </w:r>
      <w:r>
        <w:t>При этом</w:t>
      </w:r>
      <w:proofErr w:type="gramStart"/>
      <w:r>
        <w:t>,</w:t>
      </w:r>
      <w:proofErr w:type="gramEnd"/>
      <w:r>
        <w:t xml:space="preserve"> </w:t>
      </w:r>
      <w:r>
        <w:rPr>
          <w:rFonts w:eastAsia="TimesNewRoman"/>
          <w:lang w:eastAsia="ru-RU"/>
        </w:rPr>
        <w:t>с</w:t>
      </w:r>
      <w:r w:rsidRPr="00054D3E">
        <w:rPr>
          <w:rFonts w:eastAsia="TimesNewRoman"/>
          <w:lang w:eastAsia="ru-RU"/>
        </w:rPr>
        <w:t xml:space="preserve">одержание </w:t>
      </w:r>
      <w:r>
        <w:rPr>
          <w:rFonts w:eastAsia="TimesNewRoman"/>
          <w:lang w:eastAsia="ru-RU"/>
        </w:rPr>
        <w:t>интерлейкина-6 у всех пациентов</w:t>
      </w:r>
      <w:r w:rsidRPr="00054D3E">
        <w:rPr>
          <w:rFonts w:eastAsia="TimesNewRoman"/>
          <w:lang w:eastAsia="ru-RU"/>
        </w:rPr>
        <w:t xml:space="preserve"> с синдромом жировой эмболии</w:t>
      </w:r>
      <w:r>
        <w:rPr>
          <w:rFonts w:eastAsia="TimesNewRoman"/>
          <w:lang w:eastAsia="ru-RU"/>
        </w:rPr>
        <w:t xml:space="preserve"> по сравнению с пациентами, у которых синдром жировой эмболии  не развился</w:t>
      </w:r>
      <w:r w:rsidRPr="00054D3E">
        <w:rPr>
          <w:rFonts w:eastAsia="TimesNewRoman"/>
          <w:lang w:eastAsia="ru-RU"/>
        </w:rPr>
        <w:t xml:space="preserve"> было статистически д</w:t>
      </w:r>
      <w:r>
        <w:rPr>
          <w:rFonts w:eastAsia="TimesNewRoman"/>
          <w:lang w:eastAsia="ru-RU"/>
        </w:rPr>
        <w:t>остоверно выше</w:t>
      </w:r>
      <w:r w:rsidRPr="00054D3E">
        <w:t xml:space="preserve">. </w:t>
      </w:r>
    </w:p>
    <w:p w:rsidR="00657944" w:rsidRPr="00054D3E" w:rsidRDefault="00657944" w:rsidP="00657944">
      <w:pPr>
        <w:autoSpaceDE w:val="0"/>
        <w:autoSpaceDN w:val="0"/>
        <w:adjustRightInd w:val="0"/>
        <w:rPr>
          <w:b/>
          <w:bCs/>
          <w:lang w:eastAsia="ru-RU"/>
        </w:rPr>
      </w:pPr>
      <w:r>
        <w:t xml:space="preserve">     </w:t>
      </w:r>
      <w:r w:rsidRPr="00054D3E">
        <w:rPr>
          <w:b/>
          <w:bCs/>
          <w:lang w:eastAsia="ru-RU"/>
        </w:rPr>
        <w:t>Обсуждение результатов</w:t>
      </w:r>
    </w:p>
    <w:p w:rsidR="00657944" w:rsidRDefault="00657944" w:rsidP="00657944">
      <w:pPr>
        <w:autoSpaceDE w:val="0"/>
        <w:autoSpaceDN w:val="0"/>
        <w:adjustRightInd w:val="0"/>
        <w:jc w:val="both"/>
        <w:rPr>
          <w:rFonts w:eastAsia="TimesNewRoman"/>
          <w:lang w:eastAsia="ru-RU"/>
        </w:rPr>
      </w:pPr>
      <w:r>
        <w:rPr>
          <w:rFonts w:eastAsia="TimesNewRoman"/>
          <w:lang w:eastAsia="ru-RU"/>
        </w:rPr>
        <w:t xml:space="preserve">     Результаты проведенного</w:t>
      </w:r>
      <w:r w:rsidRPr="00054D3E">
        <w:rPr>
          <w:rFonts w:eastAsia="TimesNewRoman"/>
          <w:lang w:eastAsia="ru-RU"/>
        </w:rPr>
        <w:t xml:space="preserve"> исследования показали, что в ходе </w:t>
      </w:r>
      <w:r>
        <w:rPr>
          <w:rFonts w:eastAsia="TimesNewRoman"/>
          <w:lang w:eastAsia="ru-RU"/>
        </w:rPr>
        <w:t xml:space="preserve">развития и </w:t>
      </w:r>
      <w:r w:rsidRPr="00054D3E">
        <w:rPr>
          <w:rFonts w:eastAsia="TimesNewRoman"/>
          <w:lang w:eastAsia="ru-RU"/>
        </w:rPr>
        <w:t xml:space="preserve">течения </w:t>
      </w:r>
      <w:r>
        <w:rPr>
          <w:rFonts w:eastAsia="TimesNewRoman"/>
          <w:lang w:eastAsia="ru-RU"/>
        </w:rPr>
        <w:t xml:space="preserve">раннего периода </w:t>
      </w:r>
      <w:r w:rsidRPr="00054D3E">
        <w:rPr>
          <w:rFonts w:eastAsia="TimesNewRoman"/>
          <w:lang w:eastAsia="ru-RU"/>
        </w:rPr>
        <w:t xml:space="preserve">травматической болезни в исследуемых группах пациентов </w:t>
      </w:r>
      <w:r>
        <w:rPr>
          <w:rFonts w:eastAsia="TimesNewRoman"/>
          <w:lang w:eastAsia="ru-RU"/>
        </w:rPr>
        <w:t>имелись определенные различия в уровнях</w:t>
      </w:r>
      <w:r w:rsidRPr="00054D3E">
        <w:rPr>
          <w:rFonts w:eastAsia="TimesNewRoman"/>
          <w:lang w:eastAsia="ru-RU"/>
        </w:rPr>
        <w:t xml:space="preserve"> концентраций интерлейкина-6. На </w:t>
      </w:r>
      <w:r>
        <w:rPr>
          <w:rFonts w:eastAsia="TimesNewRoman"/>
          <w:lang w:eastAsia="ru-RU"/>
        </w:rPr>
        <w:t>1-е сутки после травмы в обеих группах пациентов</w:t>
      </w:r>
      <w:r w:rsidRPr="00054D3E">
        <w:rPr>
          <w:rFonts w:eastAsia="TimesNewRoman"/>
          <w:lang w:eastAsia="ru-RU"/>
        </w:rPr>
        <w:t xml:space="preserve"> определя</w:t>
      </w:r>
      <w:r>
        <w:rPr>
          <w:rFonts w:eastAsia="TimesNewRoman"/>
          <w:lang w:eastAsia="ru-RU"/>
        </w:rPr>
        <w:t>лись высокие уровни ИЛ</w:t>
      </w:r>
      <w:r w:rsidRPr="00054D3E">
        <w:rPr>
          <w:rFonts w:eastAsia="TimesNewRoman"/>
          <w:lang w:eastAsia="ru-RU"/>
        </w:rPr>
        <w:t>-6 по сра</w:t>
      </w:r>
      <w:r>
        <w:rPr>
          <w:rFonts w:eastAsia="TimesNewRoman"/>
          <w:lang w:eastAsia="ru-RU"/>
        </w:rPr>
        <w:t>внению с данными группы сравнения. При этом у пострадавших</w:t>
      </w:r>
      <w:r w:rsidRPr="00054D3E">
        <w:rPr>
          <w:rFonts w:eastAsia="TimesNewRoman"/>
          <w:lang w:eastAsia="ru-RU"/>
        </w:rPr>
        <w:t xml:space="preserve"> с </w:t>
      </w:r>
      <w:r>
        <w:rPr>
          <w:rFonts w:eastAsia="TimesNewRoman"/>
          <w:lang w:eastAsia="ru-RU"/>
        </w:rPr>
        <w:t xml:space="preserve">развившимся </w:t>
      </w:r>
      <w:r w:rsidRPr="00054D3E">
        <w:rPr>
          <w:rFonts w:eastAsia="TimesNewRoman"/>
          <w:lang w:eastAsia="ru-RU"/>
        </w:rPr>
        <w:t>синдромом жировой</w:t>
      </w:r>
      <w:r>
        <w:rPr>
          <w:rFonts w:eastAsia="TimesNewRoman"/>
          <w:lang w:eastAsia="ru-RU"/>
        </w:rPr>
        <w:t xml:space="preserve"> эмболии показатели ИЛ</w:t>
      </w:r>
      <w:r w:rsidRPr="00054D3E">
        <w:rPr>
          <w:rFonts w:eastAsia="TimesNewRoman"/>
          <w:lang w:eastAsia="ru-RU"/>
        </w:rPr>
        <w:t xml:space="preserve">-6 значительно превышали показатели </w:t>
      </w:r>
      <w:r>
        <w:rPr>
          <w:rFonts w:eastAsia="TimesNewRoman"/>
          <w:lang w:eastAsia="ru-RU"/>
        </w:rPr>
        <w:t>в группе пациентов</w:t>
      </w:r>
      <w:r w:rsidRPr="00054D3E">
        <w:rPr>
          <w:rFonts w:eastAsia="TimesNewRoman"/>
          <w:lang w:eastAsia="ru-RU"/>
        </w:rPr>
        <w:t xml:space="preserve"> без</w:t>
      </w:r>
      <w:r>
        <w:rPr>
          <w:rFonts w:eastAsia="TimesNewRoman"/>
          <w:lang w:eastAsia="ru-RU"/>
        </w:rPr>
        <w:t xml:space="preserve"> развития данного</w:t>
      </w:r>
      <w:r w:rsidRPr="00054D3E">
        <w:rPr>
          <w:rFonts w:eastAsia="TimesNewRoman"/>
          <w:lang w:eastAsia="ru-RU"/>
        </w:rPr>
        <w:t xml:space="preserve"> осложнени</w:t>
      </w:r>
      <w:r>
        <w:rPr>
          <w:rFonts w:eastAsia="TimesNewRoman"/>
          <w:lang w:eastAsia="ru-RU"/>
        </w:rPr>
        <w:t>я</w:t>
      </w:r>
      <w:r w:rsidRPr="00054D3E">
        <w:rPr>
          <w:rFonts w:eastAsia="TimesNewRoman"/>
          <w:lang w:eastAsia="ru-RU"/>
        </w:rPr>
        <w:t xml:space="preserve">, </w:t>
      </w:r>
      <w:r>
        <w:rPr>
          <w:rFonts w:eastAsia="TimesNewRoman"/>
          <w:lang w:eastAsia="ru-RU"/>
        </w:rPr>
        <w:t xml:space="preserve">что </w:t>
      </w:r>
      <w:r w:rsidRPr="00054D3E">
        <w:rPr>
          <w:rFonts w:eastAsia="TimesNewRoman"/>
          <w:lang w:eastAsia="ru-RU"/>
        </w:rPr>
        <w:t>особенно</w:t>
      </w:r>
      <w:r>
        <w:rPr>
          <w:rFonts w:eastAsia="TimesNewRoman"/>
          <w:lang w:eastAsia="ru-RU"/>
        </w:rPr>
        <w:t xml:space="preserve"> проявилось</w:t>
      </w:r>
      <w:r w:rsidRPr="00054D3E">
        <w:rPr>
          <w:rFonts w:eastAsia="TimesNewRoman"/>
          <w:lang w:eastAsia="ru-RU"/>
        </w:rPr>
        <w:t xml:space="preserve"> на 2-е сутки посттравматического периода</w:t>
      </w:r>
      <w:r>
        <w:rPr>
          <w:rFonts w:eastAsia="TimesNewRoman"/>
          <w:lang w:eastAsia="ru-RU"/>
        </w:rPr>
        <w:t xml:space="preserve"> (начало </w:t>
      </w:r>
      <w:r>
        <w:rPr>
          <w:rFonts w:eastAsia="TimesNewRoman"/>
          <w:lang w:val="en-US" w:eastAsia="ru-RU"/>
        </w:rPr>
        <w:t>III</w:t>
      </w:r>
      <w:r>
        <w:rPr>
          <w:rFonts w:eastAsia="TimesNewRoman"/>
          <w:lang w:eastAsia="ru-RU"/>
        </w:rPr>
        <w:t xml:space="preserve"> периода травматической болезни).  Это, вероятно,</w:t>
      </w:r>
      <w:r w:rsidRPr="00054D3E">
        <w:rPr>
          <w:rFonts w:eastAsia="TimesNewRoman"/>
          <w:lang w:eastAsia="ru-RU"/>
        </w:rPr>
        <w:t xml:space="preserve"> связано с тем, что в остром периоде травматической болезни происходит активация </w:t>
      </w:r>
      <w:proofErr w:type="spellStart"/>
      <w:r w:rsidRPr="00054D3E">
        <w:rPr>
          <w:rFonts w:eastAsia="TimesNewRoman"/>
          <w:lang w:eastAsia="ru-RU"/>
        </w:rPr>
        <w:t>мононуклеарных</w:t>
      </w:r>
      <w:proofErr w:type="spellEnd"/>
      <w:r w:rsidRPr="00054D3E">
        <w:rPr>
          <w:rFonts w:eastAsia="TimesNewRoman"/>
          <w:lang w:eastAsia="ru-RU"/>
        </w:rPr>
        <w:t xml:space="preserve"> клеток различной морфологии и функциональной специализации (моноциты крови, тканевые макрофаги, лимфоциты), которые начинают продуцировать и инициировать </w:t>
      </w:r>
      <w:proofErr w:type="spellStart"/>
      <w:r w:rsidRPr="00054D3E">
        <w:rPr>
          <w:rFonts w:eastAsia="TimesNewRoman"/>
          <w:lang w:eastAsia="ru-RU"/>
        </w:rPr>
        <w:t>провоспалительные</w:t>
      </w:r>
      <w:proofErr w:type="spellEnd"/>
      <w:r w:rsidRPr="00054D3E">
        <w:rPr>
          <w:rFonts w:eastAsia="TimesNewRoman"/>
          <w:lang w:eastAsia="ru-RU"/>
        </w:rPr>
        <w:t xml:space="preserve"> </w:t>
      </w:r>
      <w:proofErr w:type="spellStart"/>
      <w:r w:rsidRPr="00054D3E">
        <w:rPr>
          <w:rFonts w:eastAsia="TimesNewRoman"/>
          <w:lang w:eastAsia="ru-RU"/>
        </w:rPr>
        <w:t>цитокины</w:t>
      </w:r>
      <w:proofErr w:type="spellEnd"/>
      <w:r w:rsidRPr="00054D3E">
        <w:rPr>
          <w:rFonts w:eastAsia="TimesNewRoman"/>
          <w:lang w:eastAsia="ru-RU"/>
        </w:rPr>
        <w:t>.</w:t>
      </w:r>
    </w:p>
    <w:p w:rsidR="00B14B3D" w:rsidRDefault="00657944" w:rsidP="00657944">
      <w:pPr>
        <w:autoSpaceDE w:val="0"/>
        <w:autoSpaceDN w:val="0"/>
        <w:adjustRightInd w:val="0"/>
        <w:jc w:val="both"/>
        <w:rPr>
          <w:color w:val="000000"/>
        </w:rPr>
      </w:pPr>
      <w:r w:rsidRPr="009A1BC3">
        <w:rPr>
          <w:color w:val="000000"/>
        </w:rPr>
        <w:t xml:space="preserve">     Таким образом,</w:t>
      </w:r>
      <w:r w:rsidRPr="00054D3E">
        <w:rPr>
          <w:color w:val="000000"/>
        </w:rPr>
        <w:t xml:space="preserve"> предста</w:t>
      </w:r>
      <w:r>
        <w:rPr>
          <w:color w:val="000000"/>
        </w:rPr>
        <w:t>вления о механизмах развития синдрома жировой эмболии</w:t>
      </w:r>
      <w:r w:rsidRPr="00054D3E">
        <w:rPr>
          <w:color w:val="000000"/>
        </w:rPr>
        <w:t xml:space="preserve"> с учетом иммунопатологич</w:t>
      </w:r>
      <w:r>
        <w:rPr>
          <w:color w:val="000000"/>
        </w:rPr>
        <w:t xml:space="preserve">еских аспектов определяют возможности использования показателей уровня интерлейкина-6 в прогнозировании и ранней диагностике синдрома жировой эмболии, а также возможности разработки и </w:t>
      </w:r>
      <w:r w:rsidRPr="00054D3E">
        <w:rPr>
          <w:color w:val="000000"/>
        </w:rPr>
        <w:t>совершенствования существующих схем профилактики и лечени</w:t>
      </w:r>
      <w:r>
        <w:rPr>
          <w:color w:val="000000"/>
        </w:rPr>
        <w:t>я этого грозного осложнения</w:t>
      </w:r>
      <w:r w:rsidRPr="00054D3E">
        <w:rPr>
          <w:color w:val="000000"/>
        </w:rPr>
        <w:t>.</w:t>
      </w:r>
    </w:p>
    <w:p w:rsidR="00B14B3D" w:rsidRDefault="00B14B3D" w:rsidP="00657944">
      <w:pPr>
        <w:autoSpaceDE w:val="0"/>
        <w:autoSpaceDN w:val="0"/>
        <w:adjustRightInd w:val="0"/>
        <w:jc w:val="both"/>
        <w:rPr>
          <w:color w:val="000000"/>
        </w:rPr>
      </w:pPr>
    </w:p>
    <w:p w:rsidR="00B14B3D" w:rsidRPr="00750423" w:rsidRDefault="00B14B3D" w:rsidP="00B14B3D">
      <w:pPr>
        <w:jc w:val="both"/>
        <w:rPr>
          <w:i/>
          <w:iCs/>
          <w:color w:val="000000"/>
        </w:rPr>
      </w:pPr>
      <w:r w:rsidRPr="00750423">
        <w:rPr>
          <w:i/>
          <w:iCs/>
          <w:color w:val="000000"/>
        </w:rPr>
        <w:t xml:space="preserve">Ключевые слова: синдром жировой </w:t>
      </w:r>
      <w:r>
        <w:rPr>
          <w:i/>
          <w:iCs/>
          <w:color w:val="000000"/>
        </w:rPr>
        <w:t>эмболии,  переломы костей,</w:t>
      </w:r>
      <w:r w:rsidRPr="00750423">
        <w:rPr>
          <w:i/>
          <w:iCs/>
          <w:color w:val="000000"/>
        </w:rPr>
        <w:t xml:space="preserve">  интерлейкин-6.</w:t>
      </w:r>
    </w:p>
    <w:p w:rsidR="00657944" w:rsidRDefault="00657944" w:rsidP="00657944">
      <w:pPr>
        <w:autoSpaceDE w:val="0"/>
        <w:autoSpaceDN w:val="0"/>
        <w:adjustRightInd w:val="0"/>
        <w:jc w:val="both"/>
      </w:pPr>
      <w:r w:rsidRPr="00054D3E">
        <w:t xml:space="preserve"> </w:t>
      </w:r>
    </w:p>
    <w:p w:rsidR="00657944" w:rsidRPr="0083065E" w:rsidRDefault="00657944" w:rsidP="00657944">
      <w:pPr>
        <w:pStyle w:val="a3"/>
        <w:spacing w:before="0" w:beforeAutospacing="0" w:after="0" w:afterAutospacing="0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 xml:space="preserve">          ЛИТЕРАТУРА</w:t>
      </w:r>
    </w:p>
    <w:p w:rsidR="00657944" w:rsidRDefault="00657944" w:rsidP="00657944">
      <w:pPr>
        <w:pStyle w:val="a3"/>
        <w:numPr>
          <w:ilvl w:val="0"/>
          <w:numId w:val="1"/>
        </w:numPr>
        <w:tabs>
          <w:tab w:val="clear" w:pos="156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Агаджанян</w:t>
      </w:r>
      <w:proofErr w:type="spellEnd"/>
      <w:r>
        <w:rPr>
          <w:color w:val="000000"/>
        </w:rPr>
        <w:t xml:space="preserve"> В.В. </w:t>
      </w:r>
      <w:proofErr w:type="spellStart"/>
      <w:r>
        <w:rPr>
          <w:color w:val="000000"/>
        </w:rPr>
        <w:t>Политравма</w:t>
      </w:r>
      <w:proofErr w:type="spellEnd"/>
      <w:r>
        <w:rPr>
          <w:color w:val="000000"/>
        </w:rPr>
        <w:t xml:space="preserve">: проблема и практические вопросы </w:t>
      </w:r>
      <w:r w:rsidRPr="00004A5C">
        <w:rPr>
          <w:color w:val="000000"/>
        </w:rPr>
        <w:t>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В.В.Агаджанян</w:t>
      </w:r>
      <w:proofErr w:type="spellEnd"/>
      <w:r>
        <w:rPr>
          <w:color w:val="000000"/>
        </w:rPr>
        <w:t xml:space="preserve"> </w:t>
      </w:r>
      <w:r w:rsidRPr="00004A5C">
        <w:rPr>
          <w:color w:val="000000"/>
        </w:rPr>
        <w:t>//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Политравма</w:t>
      </w:r>
      <w:proofErr w:type="spellEnd"/>
      <w:r>
        <w:rPr>
          <w:color w:val="000000"/>
        </w:rPr>
        <w:t>. – 2006. - № 1. – С. 5-8.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clear" w:pos="156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Гридасова</w:t>
      </w:r>
      <w:proofErr w:type="spellEnd"/>
      <w:r>
        <w:rPr>
          <w:color w:val="000000"/>
        </w:rPr>
        <w:t xml:space="preserve"> Е.И. Некоторые аспекты формирования синдрома жировой эмболии </w:t>
      </w:r>
      <w:r w:rsidRPr="00004A5C">
        <w:rPr>
          <w:color w:val="000000"/>
        </w:rPr>
        <w:t>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Е.И.Гридасова</w:t>
      </w:r>
      <w:proofErr w:type="spellEnd"/>
      <w:r>
        <w:rPr>
          <w:color w:val="000000"/>
        </w:rPr>
        <w:t>, О.Г.Калинкин, Е.П.Курапов</w:t>
      </w:r>
      <w:r w:rsidRPr="00004A5C">
        <w:rPr>
          <w:color w:val="000000"/>
        </w:rPr>
        <w:t xml:space="preserve"> //</w:t>
      </w:r>
      <w:r>
        <w:rPr>
          <w:color w:val="000000"/>
        </w:rPr>
        <w:t xml:space="preserve"> Травма. – 2003. – Т. 4. - № 2. – С. 151-155. 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54D3E">
        <w:rPr>
          <w:color w:val="000000"/>
        </w:rPr>
        <w:t>Борисов М.Б. Синдром жировой эмболии</w:t>
      </w:r>
      <w:r>
        <w:rPr>
          <w:color w:val="000000"/>
        </w:rPr>
        <w:t xml:space="preserve"> при тяжелых сочетанных травмах </w:t>
      </w:r>
      <w:r w:rsidRPr="00FF583B">
        <w:rPr>
          <w:color w:val="000000"/>
        </w:rPr>
        <w:t>/</w:t>
      </w:r>
      <w:r>
        <w:rPr>
          <w:color w:val="000000"/>
        </w:rPr>
        <w:t xml:space="preserve"> М.Б.Борисов</w:t>
      </w:r>
      <w:r w:rsidRPr="00FF583B">
        <w:rPr>
          <w:color w:val="000000"/>
        </w:rPr>
        <w:t xml:space="preserve"> //</w:t>
      </w:r>
      <w:r>
        <w:rPr>
          <w:color w:val="000000"/>
        </w:rPr>
        <w:t xml:space="preserve"> </w:t>
      </w:r>
      <w:r w:rsidRPr="00054D3E">
        <w:rPr>
          <w:color w:val="000000"/>
        </w:rPr>
        <w:t xml:space="preserve"> Вес</w:t>
      </w:r>
      <w:r>
        <w:rPr>
          <w:color w:val="000000"/>
        </w:rPr>
        <w:t xml:space="preserve">тник хирургии. - 2006. - Т. 165. – </w:t>
      </w:r>
      <w:r w:rsidRPr="00054D3E">
        <w:rPr>
          <w:color w:val="000000"/>
        </w:rPr>
        <w:t>№ 5. - С. 68-71.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Плахотина</w:t>
      </w:r>
      <w:proofErr w:type="spellEnd"/>
      <w:r>
        <w:rPr>
          <w:color w:val="000000"/>
        </w:rPr>
        <w:t xml:space="preserve"> Е.Н.</w:t>
      </w:r>
      <w:r w:rsidRPr="00054D3E">
        <w:rPr>
          <w:color w:val="000000"/>
        </w:rPr>
        <w:t xml:space="preserve"> Жировая эмболия: п</w:t>
      </w:r>
      <w:r>
        <w:rPr>
          <w:color w:val="000000"/>
        </w:rPr>
        <w:t xml:space="preserve">атогенез, профилактика, лечение </w:t>
      </w:r>
      <w:r w:rsidRPr="00097352">
        <w:rPr>
          <w:color w:val="000000"/>
        </w:rPr>
        <w:t>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Е.Н.Плахотина</w:t>
      </w:r>
      <w:proofErr w:type="spellEnd"/>
      <w:r>
        <w:rPr>
          <w:color w:val="000000"/>
        </w:rPr>
        <w:t>, С.Н.Бочаров.</w:t>
      </w:r>
      <w:r w:rsidRPr="00054D3E">
        <w:rPr>
          <w:color w:val="000000"/>
        </w:rPr>
        <w:t xml:space="preserve">  - Новосибирск: Наука, 2009.  - 150 </w:t>
      </w:r>
      <w:proofErr w:type="gramStart"/>
      <w:r w:rsidRPr="00054D3E">
        <w:rPr>
          <w:color w:val="000000"/>
        </w:rPr>
        <w:t>с</w:t>
      </w:r>
      <w:proofErr w:type="gramEnd"/>
      <w:r w:rsidRPr="00054D3E">
        <w:rPr>
          <w:color w:val="000000"/>
        </w:rPr>
        <w:t xml:space="preserve">. 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lang w:val="en-US"/>
        </w:rPr>
      </w:pPr>
      <w:r>
        <w:rPr>
          <w:color w:val="000000"/>
          <w:lang w:val="es-ES"/>
        </w:rPr>
        <w:t>Hashimoto T.</w:t>
      </w:r>
      <w:r w:rsidRPr="00054D3E">
        <w:rPr>
          <w:color w:val="000000"/>
          <w:lang w:val="es-ES"/>
        </w:rPr>
        <w:t xml:space="preserve"> </w:t>
      </w:r>
      <w:r w:rsidRPr="00054D3E">
        <w:rPr>
          <w:color w:val="000000"/>
          <w:lang w:val="en-US"/>
        </w:rPr>
        <w:t>Changes</w:t>
      </w:r>
      <w:r w:rsidRPr="00B97191"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>in</w:t>
      </w:r>
      <w:r w:rsidRPr="00B97191"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>cytokines</w:t>
      </w:r>
      <w:r w:rsidRPr="00B97191"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>during</w:t>
      </w:r>
      <w:r w:rsidRPr="00B97191">
        <w:rPr>
          <w:color w:val="000000"/>
          <w:lang w:val="en-US"/>
        </w:rPr>
        <w:t xml:space="preserve"> </w:t>
      </w:r>
      <w:proofErr w:type="spellStart"/>
      <w:r w:rsidRPr="00054D3E">
        <w:rPr>
          <w:color w:val="000000"/>
          <w:lang w:val="en-US"/>
        </w:rPr>
        <w:t>perioperative</w:t>
      </w:r>
      <w:proofErr w:type="spellEnd"/>
      <w:r w:rsidRPr="00B97191"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>period</w:t>
      </w:r>
      <w:r w:rsidRPr="00B97191"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>of</w:t>
      </w:r>
      <w:r w:rsidRPr="00B97191"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>hip</w:t>
      </w:r>
      <w:r w:rsidRPr="00B97191">
        <w:rPr>
          <w:color w:val="000000"/>
          <w:lang w:val="en-US"/>
        </w:rPr>
        <w:t xml:space="preserve"> </w:t>
      </w:r>
      <w:proofErr w:type="spellStart"/>
      <w:r w:rsidRPr="00054D3E">
        <w:rPr>
          <w:color w:val="000000"/>
          <w:lang w:val="en-US"/>
        </w:rPr>
        <w:t>arthroplasty</w:t>
      </w:r>
      <w:proofErr w:type="spellEnd"/>
      <w:r w:rsidRPr="00054D3E">
        <w:rPr>
          <w:color w:val="000000"/>
          <w:lang w:val="en-US"/>
        </w:rPr>
        <w:t xml:space="preserve"> in patients older than 80 years of age</w:t>
      </w:r>
      <w:r w:rsidRPr="00B9719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/ </w:t>
      </w:r>
      <w:proofErr w:type="spellStart"/>
      <w:r>
        <w:rPr>
          <w:color w:val="000000"/>
          <w:lang w:val="en-US"/>
        </w:rPr>
        <w:t>T.Hashimoto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H.Hiruta</w:t>
      </w:r>
      <w:proofErr w:type="spellEnd"/>
      <w:r>
        <w:rPr>
          <w:color w:val="000000"/>
          <w:lang w:val="en-US"/>
        </w:rPr>
        <w:t xml:space="preserve">, </w:t>
      </w:r>
      <w:proofErr w:type="spellStart"/>
      <w:proofErr w:type="gramStart"/>
      <w:r>
        <w:rPr>
          <w:color w:val="000000"/>
          <w:lang w:val="en-US"/>
        </w:rPr>
        <w:t>Y.Yamada</w:t>
      </w:r>
      <w:proofErr w:type="spellEnd"/>
      <w:r>
        <w:rPr>
          <w:color w:val="000000"/>
          <w:lang w:val="en-US"/>
        </w:rPr>
        <w:t xml:space="preserve"> </w:t>
      </w:r>
      <w:r w:rsidRPr="00054D3E">
        <w:rPr>
          <w:color w:val="000000"/>
          <w:lang w:val="en-US"/>
        </w:rPr>
        <w:t xml:space="preserve"> /</w:t>
      </w:r>
      <w:proofErr w:type="gramEnd"/>
      <w:r w:rsidRPr="00054D3E">
        <w:rPr>
          <w:color w:val="000000"/>
          <w:lang w:val="en-US"/>
        </w:rPr>
        <w:t>/ Masui. – 2003. – Vol.52. – P.1214–1217. 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lang w:val="en-US"/>
        </w:rPr>
      </w:pPr>
      <w:proofErr w:type="spellStart"/>
      <w:r w:rsidRPr="00054D3E">
        <w:rPr>
          <w:color w:val="000000"/>
          <w:lang w:val="en-US"/>
        </w:rPr>
        <w:t>Pared</w:t>
      </w:r>
      <w:r>
        <w:rPr>
          <w:color w:val="000000"/>
          <w:lang w:val="en-US"/>
        </w:rPr>
        <w:t>es</w:t>
      </w:r>
      <w:proofErr w:type="spellEnd"/>
      <w:r>
        <w:rPr>
          <w:color w:val="000000"/>
          <w:lang w:val="en-US"/>
        </w:rPr>
        <w:t xml:space="preserve"> J.C.</w:t>
      </w:r>
      <w:r w:rsidRPr="00054D3E">
        <w:rPr>
          <w:color w:val="000000"/>
          <w:lang w:val="en-US"/>
        </w:rPr>
        <w:t xml:space="preserve"> Fat embolism syndrome after shoulder </w:t>
      </w:r>
      <w:proofErr w:type="spellStart"/>
      <w:r w:rsidRPr="00054D3E">
        <w:rPr>
          <w:color w:val="000000"/>
          <w:lang w:val="en-US"/>
        </w:rPr>
        <w:t>hemiarthroplasty</w:t>
      </w:r>
      <w:proofErr w:type="spellEnd"/>
      <w:r>
        <w:rPr>
          <w:color w:val="000000"/>
          <w:lang w:val="en-US"/>
        </w:rPr>
        <w:t xml:space="preserve"> / </w:t>
      </w:r>
      <w:proofErr w:type="spellStart"/>
      <w:r>
        <w:rPr>
          <w:color w:val="000000"/>
          <w:lang w:val="en-US"/>
        </w:rPr>
        <w:t>J.C.Paredes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J.F.Syquia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A.M.Chang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J.T.Zamuco</w:t>
      </w:r>
      <w:proofErr w:type="spellEnd"/>
      <w:r w:rsidRPr="00054D3E">
        <w:rPr>
          <w:color w:val="000000"/>
          <w:lang w:val="en-US"/>
        </w:rPr>
        <w:t xml:space="preserve"> // J. Shoulder Elbow Surg.  – 2011. – Vol.20 (5). – P.25-28.  </w:t>
      </w:r>
    </w:p>
    <w:p w:rsidR="00657944" w:rsidRPr="00666B6D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lang w:val="en-US"/>
        </w:rPr>
      </w:pPr>
      <w:r w:rsidRPr="00054D3E">
        <w:rPr>
          <w:color w:val="000000"/>
          <w:lang w:val="da-DK"/>
        </w:rPr>
        <w:t xml:space="preserve">Prakash S. </w:t>
      </w:r>
      <w:r w:rsidRPr="00054D3E">
        <w:rPr>
          <w:color w:val="000000"/>
          <w:lang w:val="en-US"/>
        </w:rPr>
        <w:t>Role of Interleukin-6 as an Early Marker of Fat Embolism Syndrome: A Clinical Study</w:t>
      </w:r>
      <w:r>
        <w:rPr>
          <w:color w:val="000000"/>
          <w:lang w:val="en-US"/>
        </w:rPr>
        <w:t xml:space="preserve"> / </w:t>
      </w:r>
      <w:proofErr w:type="spellStart"/>
      <w:r>
        <w:rPr>
          <w:color w:val="000000"/>
          <w:lang w:val="en-US"/>
        </w:rPr>
        <w:t>S.Prakash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R.K.Sen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S.K.Tripathy</w:t>
      </w:r>
      <w:proofErr w:type="spellEnd"/>
      <w:r w:rsidRPr="00054D3E">
        <w:rPr>
          <w:color w:val="000000"/>
          <w:lang w:val="en-US"/>
        </w:rPr>
        <w:t xml:space="preserve"> // </w:t>
      </w:r>
      <w:proofErr w:type="spellStart"/>
      <w:r w:rsidRPr="00054D3E">
        <w:rPr>
          <w:color w:val="000000"/>
          <w:lang w:val="en-US"/>
        </w:rPr>
        <w:t>Clin</w:t>
      </w:r>
      <w:proofErr w:type="spellEnd"/>
      <w:r w:rsidRPr="00054D3E">
        <w:rPr>
          <w:color w:val="000000"/>
          <w:lang w:val="en-US"/>
        </w:rPr>
        <w:t xml:space="preserve">. </w:t>
      </w:r>
      <w:proofErr w:type="spellStart"/>
      <w:r w:rsidRPr="00054D3E">
        <w:rPr>
          <w:color w:val="000000"/>
          <w:lang w:val="en-US"/>
        </w:rPr>
        <w:t>Orthop</w:t>
      </w:r>
      <w:proofErr w:type="spellEnd"/>
      <w:r w:rsidRPr="00054D3E">
        <w:rPr>
          <w:color w:val="000000"/>
          <w:lang w:val="en-US"/>
        </w:rPr>
        <w:t xml:space="preserve">. </w:t>
      </w:r>
      <w:proofErr w:type="spellStart"/>
      <w:r w:rsidRPr="00054D3E">
        <w:rPr>
          <w:color w:val="000000"/>
          <w:lang w:val="en-US"/>
        </w:rPr>
        <w:t>Relat</w:t>
      </w:r>
      <w:proofErr w:type="spellEnd"/>
      <w:r w:rsidRPr="00054D3E">
        <w:rPr>
          <w:color w:val="000000"/>
          <w:lang w:val="en-US"/>
        </w:rPr>
        <w:t>. Res.  – 2013. -  Feb. 20. [</w:t>
      </w:r>
      <w:proofErr w:type="spellStart"/>
      <w:r w:rsidRPr="00054D3E">
        <w:rPr>
          <w:color w:val="000000"/>
          <w:lang w:val="en-US"/>
        </w:rPr>
        <w:t>Epub</w:t>
      </w:r>
      <w:proofErr w:type="spellEnd"/>
      <w:r w:rsidRPr="00054D3E">
        <w:rPr>
          <w:color w:val="000000"/>
          <w:lang w:val="en-US"/>
        </w:rPr>
        <w:t xml:space="preserve"> ahead of print]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lang w:val="en-US"/>
        </w:rPr>
      </w:pPr>
      <w:proofErr w:type="spellStart"/>
      <w:r w:rsidRPr="00054D3E">
        <w:rPr>
          <w:color w:val="000000"/>
          <w:lang w:val="de-DE"/>
        </w:rPr>
        <w:t>Schemitsch</w:t>
      </w:r>
      <w:proofErr w:type="spellEnd"/>
      <w:r w:rsidRPr="00054D3E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E.H.</w:t>
      </w:r>
      <w:r w:rsidRPr="00054D3E">
        <w:rPr>
          <w:color w:val="000000"/>
          <w:lang w:val="de-DE"/>
        </w:rPr>
        <w:t xml:space="preserve"> </w:t>
      </w:r>
      <w:r w:rsidRPr="00054D3E">
        <w:rPr>
          <w:color w:val="000000"/>
          <w:lang w:val="en-US"/>
        </w:rPr>
        <w:t xml:space="preserve">Pulmonary effects of fixation of a fracture with a plate compared with </w:t>
      </w:r>
      <w:proofErr w:type="spellStart"/>
      <w:r w:rsidRPr="00054D3E">
        <w:rPr>
          <w:color w:val="000000"/>
          <w:lang w:val="en-US"/>
        </w:rPr>
        <w:t>intramedullary</w:t>
      </w:r>
      <w:proofErr w:type="spellEnd"/>
      <w:r w:rsidRPr="00054D3E">
        <w:rPr>
          <w:color w:val="000000"/>
          <w:lang w:val="en-US"/>
        </w:rPr>
        <w:t xml:space="preserve"> nailing. A canine model of fat embolism and fracture fixation</w:t>
      </w:r>
      <w:r>
        <w:rPr>
          <w:color w:val="000000"/>
          <w:lang w:val="en-US"/>
        </w:rPr>
        <w:t xml:space="preserve"> / </w:t>
      </w:r>
      <w:proofErr w:type="spellStart"/>
      <w:r>
        <w:rPr>
          <w:color w:val="000000"/>
          <w:lang w:val="en-US"/>
        </w:rPr>
        <w:t>E.H.Schemitsch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R.Jain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D.Turchin</w:t>
      </w:r>
      <w:proofErr w:type="spellEnd"/>
      <w:r w:rsidRPr="00054D3E">
        <w:rPr>
          <w:color w:val="000000"/>
          <w:lang w:val="en-US"/>
        </w:rPr>
        <w:t xml:space="preserve"> // J. Bone Joint Surg. Am.  – 1997. – Vol.79. – P.984–996.</w:t>
      </w:r>
    </w:p>
    <w:p w:rsidR="00657944" w:rsidRPr="00054D3E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  <w:lang w:val="en-US"/>
        </w:rPr>
      </w:pPr>
      <w:proofErr w:type="spellStart"/>
      <w:r w:rsidRPr="00054D3E">
        <w:rPr>
          <w:color w:val="000000"/>
          <w:lang w:val="en-US"/>
        </w:rPr>
        <w:t>Syrbu</w:t>
      </w:r>
      <w:proofErr w:type="spellEnd"/>
      <w:r>
        <w:rPr>
          <w:color w:val="000000"/>
          <w:lang w:val="en-US"/>
        </w:rPr>
        <w:t xml:space="preserve"> S.</w:t>
      </w:r>
      <w:r w:rsidRPr="00054D3E">
        <w:rPr>
          <w:color w:val="000000"/>
          <w:lang w:val="en-US"/>
        </w:rPr>
        <w:t xml:space="preserve"> Sequential appearance of inflammatory mediators in rat </w:t>
      </w:r>
      <w:proofErr w:type="spellStart"/>
      <w:r w:rsidRPr="00054D3E">
        <w:rPr>
          <w:color w:val="000000"/>
          <w:lang w:val="en-US"/>
        </w:rPr>
        <w:t>bronchoalveolar</w:t>
      </w:r>
      <w:proofErr w:type="spellEnd"/>
      <w:r w:rsidRPr="00054D3E">
        <w:rPr>
          <w:color w:val="000000"/>
          <w:lang w:val="en-US"/>
        </w:rPr>
        <w:t xml:space="preserve"> </w:t>
      </w:r>
      <w:proofErr w:type="spellStart"/>
      <w:r w:rsidRPr="00054D3E">
        <w:rPr>
          <w:color w:val="000000"/>
          <w:lang w:val="en-US"/>
        </w:rPr>
        <w:t>lavage</w:t>
      </w:r>
      <w:proofErr w:type="spellEnd"/>
      <w:r w:rsidRPr="00054D3E">
        <w:rPr>
          <w:color w:val="000000"/>
          <w:lang w:val="en-US"/>
        </w:rPr>
        <w:t xml:space="preserve"> fluid after oleic acid-induced lung injury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S.Syrbu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R.S.Thrall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H.M.Smilowitz</w:t>
      </w:r>
      <w:proofErr w:type="spellEnd"/>
      <w:r w:rsidRPr="00054D3E">
        <w:rPr>
          <w:color w:val="000000"/>
          <w:lang w:val="en-US"/>
        </w:rPr>
        <w:t xml:space="preserve"> // Exp. Lung Res.  – 1996. – Vol.22. – P.33–49.</w:t>
      </w:r>
    </w:p>
    <w:p w:rsidR="00657944" w:rsidRPr="00BD5DD5" w:rsidRDefault="00657944" w:rsidP="00657944">
      <w:pPr>
        <w:pStyle w:val="a3"/>
        <w:numPr>
          <w:ilvl w:val="0"/>
          <w:numId w:val="1"/>
        </w:numPr>
        <w:tabs>
          <w:tab w:val="num" w:pos="567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>
        <w:rPr>
          <w:lang w:val="en-US"/>
        </w:rPr>
        <w:t>Yoga R.</w:t>
      </w:r>
      <w:r w:rsidRPr="00054D3E">
        <w:rPr>
          <w:lang w:val="en-US"/>
        </w:rPr>
        <w:t xml:space="preserve"> Interleukin-6 as an early marker for fat embolism</w:t>
      </w:r>
      <w:r>
        <w:rPr>
          <w:lang w:val="en-US"/>
        </w:rPr>
        <w:t xml:space="preserve"> / </w:t>
      </w:r>
      <w:proofErr w:type="spellStart"/>
      <w:r>
        <w:rPr>
          <w:lang w:val="en-US"/>
        </w:rPr>
        <w:t>R.Yoga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J.Theis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M.Walton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W.Sutherland</w:t>
      </w:r>
      <w:proofErr w:type="spellEnd"/>
      <w:r w:rsidRPr="00054D3E">
        <w:rPr>
          <w:lang w:val="en-US"/>
        </w:rPr>
        <w:t xml:space="preserve"> // J. </w:t>
      </w:r>
      <w:proofErr w:type="spellStart"/>
      <w:r w:rsidRPr="00054D3E">
        <w:rPr>
          <w:lang w:val="en-US"/>
        </w:rPr>
        <w:t>Orthop</w:t>
      </w:r>
      <w:proofErr w:type="spellEnd"/>
      <w:r w:rsidRPr="00054D3E">
        <w:rPr>
          <w:lang w:val="en-US"/>
        </w:rPr>
        <w:t>. Surg. Res.  – 2009. – Vol.4 (18).</w:t>
      </w:r>
    </w:p>
    <w:p w:rsidR="00657944" w:rsidRPr="0083065E" w:rsidRDefault="00657944" w:rsidP="00657944">
      <w:pPr>
        <w:pStyle w:val="a3"/>
        <w:spacing w:before="0" w:beforeAutospacing="0" w:after="0" w:afterAutospacing="0"/>
        <w:jc w:val="both"/>
        <w:rPr>
          <w:lang w:val="en-US"/>
        </w:rPr>
      </w:pPr>
    </w:p>
    <w:sectPr w:rsidR="00657944" w:rsidRPr="0083065E" w:rsidSect="00BB49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F0" w:rsidRDefault="009B1DF0" w:rsidP="00661924">
      <w:r>
        <w:separator/>
      </w:r>
    </w:p>
  </w:endnote>
  <w:endnote w:type="continuationSeparator" w:id="0">
    <w:p w:rsidR="009B1DF0" w:rsidRDefault="009B1DF0" w:rsidP="0066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91" w:rsidRDefault="00661924">
    <w:pPr>
      <w:pStyle w:val="a4"/>
      <w:jc w:val="right"/>
    </w:pPr>
    <w:r>
      <w:fldChar w:fldCharType="begin"/>
    </w:r>
    <w:r w:rsidR="00DE13B9">
      <w:instrText xml:space="preserve"> PAGE   \* MERGEFORMAT </w:instrText>
    </w:r>
    <w:r>
      <w:fldChar w:fldCharType="separate"/>
    </w:r>
    <w:r w:rsidR="00784496">
      <w:rPr>
        <w:noProof/>
      </w:rPr>
      <w:t>2</w:t>
    </w:r>
    <w:r>
      <w:fldChar w:fldCharType="end"/>
    </w:r>
  </w:p>
  <w:p w:rsidR="00485491" w:rsidRDefault="009B1D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F0" w:rsidRDefault="009B1DF0" w:rsidP="00661924">
      <w:r>
        <w:separator/>
      </w:r>
    </w:p>
  </w:footnote>
  <w:footnote w:type="continuationSeparator" w:id="0">
    <w:p w:rsidR="009B1DF0" w:rsidRDefault="009B1DF0" w:rsidP="00661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9EE"/>
    <w:multiLevelType w:val="hybridMultilevel"/>
    <w:tmpl w:val="D61C6AE0"/>
    <w:lvl w:ilvl="0" w:tplc="131EA63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7096CB82">
      <w:start w:val="34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SimSu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9D3137C"/>
    <w:multiLevelType w:val="hybridMultilevel"/>
    <w:tmpl w:val="E156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944"/>
    <w:rsid w:val="001B5EB1"/>
    <w:rsid w:val="00215379"/>
    <w:rsid w:val="002E6764"/>
    <w:rsid w:val="003B4AC3"/>
    <w:rsid w:val="005328FC"/>
    <w:rsid w:val="00657944"/>
    <w:rsid w:val="00661924"/>
    <w:rsid w:val="007070AD"/>
    <w:rsid w:val="00784496"/>
    <w:rsid w:val="007E10FF"/>
    <w:rsid w:val="009B1DF0"/>
    <w:rsid w:val="00A57EE9"/>
    <w:rsid w:val="00B14B3D"/>
    <w:rsid w:val="00B85EB9"/>
    <w:rsid w:val="00C249C8"/>
    <w:rsid w:val="00D0327E"/>
    <w:rsid w:val="00DA228B"/>
    <w:rsid w:val="00DB6F72"/>
    <w:rsid w:val="00DE13B9"/>
    <w:rsid w:val="00F6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579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65794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57944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657944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3">
    <w:name w:val="Normal (Web)"/>
    <w:basedOn w:val="a"/>
    <w:uiPriority w:val="99"/>
    <w:rsid w:val="00657944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6579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79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99"/>
    <w:qFormat/>
    <w:rsid w:val="006579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</dc:creator>
  <cp:keywords/>
  <dc:description/>
  <cp:lastModifiedBy>Панков</cp:lastModifiedBy>
  <cp:revision>19</cp:revision>
  <dcterms:created xsi:type="dcterms:W3CDTF">2017-02-20T13:58:00Z</dcterms:created>
  <dcterms:modified xsi:type="dcterms:W3CDTF">2017-02-20T15:12:00Z</dcterms:modified>
</cp:coreProperties>
</file>