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Рецидивирующая нестабильность надколенника у детей</w:t>
      </w:r>
    </w:p>
    <w:p>
      <w:pPr>
        <w:pStyle w:val="pDocAuthName"/>
      </w:pPr>
      <w:r>
        <w:t xml:space="preserve">Меркулов В. Н., Саутенко А. А., Ельцин А. Г., Стужина В. Т., Мининков Д. С.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