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Эксперементальное исследование возможности применения пленок из полигидроксиалконата для регенерации поврежденного суставного хряща</w:t>
      </w:r>
    </w:p>
    <w:p>
      <w:pPr>
        <w:pStyle w:val="pDocAuthName"/>
      </w:pPr>
      <w:r>
        <w:t xml:space="preserve">Береговой Е. А., Майбородин И. В., Шевела А. И., Анищенко В. В., Манаев А. А., Баранник М. И., Иайбородина В. И.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